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282" w:rsidRPr="00D6564C" w:rsidRDefault="00AF0282" w:rsidP="00AF0282">
      <w:pPr>
        <w:tabs>
          <w:tab w:val="right" w:pos="10260"/>
        </w:tabs>
        <w:spacing w:after="200" w:line="276" w:lineRule="auto"/>
        <w:jc w:val="center"/>
        <w:rPr>
          <w:rFonts w:asciiTheme="majorHAnsi" w:eastAsiaTheme="minorHAnsi" w:hAnsiTheme="majorHAnsi" w:cstheme="minorBidi"/>
          <w:sz w:val="52"/>
          <w:szCs w:val="52"/>
        </w:rPr>
      </w:pPr>
      <w:r w:rsidRPr="00D6564C">
        <w:rPr>
          <w:rFonts w:asciiTheme="majorHAnsi" w:eastAsiaTheme="minorHAnsi" w:hAnsiTheme="majorHAnsi" w:cstheme="minorBidi"/>
          <w:sz w:val="52"/>
          <w:szCs w:val="52"/>
        </w:rPr>
        <w:t>ATTACHMENT A</w:t>
      </w:r>
    </w:p>
    <w:p w:rsidR="00AF0282" w:rsidRPr="00D6564C" w:rsidRDefault="00AF0282" w:rsidP="00AF0282">
      <w:pPr>
        <w:tabs>
          <w:tab w:val="right" w:pos="10260"/>
        </w:tabs>
        <w:spacing w:after="200" w:line="276" w:lineRule="auto"/>
        <w:jc w:val="center"/>
        <w:rPr>
          <w:rFonts w:asciiTheme="majorHAnsi" w:eastAsiaTheme="minorHAnsi" w:hAnsiTheme="majorHAnsi" w:cstheme="minorBidi"/>
          <w:sz w:val="28"/>
          <w:szCs w:val="28"/>
        </w:rPr>
      </w:pPr>
    </w:p>
    <w:p w:rsidR="00AF0282" w:rsidRPr="00D6564C" w:rsidRDefault="00AF0282" w:rsidP="00AF0282">
      <w:pPr>
        <w:pBdr>
          <w:bottom w:val="single" w:sz="8" w:space="4" w:color="4F81BD" w:themeColor="accent1"/>
        </w:pBdr>
        <w:spacing w:after="300"/>
        <w:contextualSpacing/>
        <w:jc w:val="center"/>
        <w:rPr>
          <w:rFonts w:asciiTheme="majorHAnsi" w:eastAsiaTheme="majorEastAsia" w:hAnsiTheme="majorHAnsi" w:cstheme="majorBidi"/>
          <w:color w:val="17365D" w:themeColor="text2" w:themeShade="BF"/>
          <w:spacing w:val="5"/>
          <w:kern w:val="28"/>
          <w:sz w:val="52"/>
          <w:szCs w:val="52"/>
        </w:rPr>
      </w:pPr>
      <w:r w:rsidRPr="00D6564C">
        <w:rPr>
          <w:rFonts w:asciiTheme="majorHAnsi" w:eastAsiaTheme="majorEastAsia" w:hAnsiTheme="majorHAnsi" w:cstheme="majorBidi"/>
          <w:color w:val="17365D" w:themeColor="text2" w:themeShade="BF"/>
          <w:spacing w:val="5"/>
          <w:kern w:val="28"/>
          <w:sz w:val="52"/>
          <w:szCs w:val="52"/>
        </w:rPr>
        <w:t>Standard LSE Plan</w:t>
      </w:r>
    </w:p>
    <w:p w:rsidR="00AF0282" w:rsidRPr="00D6564C" w:rsidRDefault="00AF0282" w:rsidP="00AF0282">
      <w:pPr>
        <w:tabs>
          <w:tab w:val="left" w:pos="8232"/>
        </w:tabs>
        <w:spacing w:after="200" w:line="276" w:lineRule="auto"/>
        <w:rPr>
          <w:rFonts w:asciiTheme="minorHAnsi" w:eastAsiaTheme="minorHAnsi" w:hAnsiTheme="minorHAnsi" w:cstheme="minorBidi"/>
          <w:sz w:val="22"/>
          <w:szCs w:val="22"/>
        </w:rPr>
      </w:pPr>
      <w:r w:rsidRPr="00D6564C">
        <w:rPr>
          <w:rFonts w:asciiTheme="minorHAnsi" w:eastAsiaTheme="minorHAnsi" w:hAnsiTheme="minorHAnsi" w:cstheme="minorBidi"/>
          <w:sz w:val="22"/>
          <w:szCs w:val="22"/>
        </w:rPr>
        <w:tab/>
      </w:r>
    </w:p>
    <w:p w:rsidR="00AF0282" w:rsidRPr="00D6564C" w:rsidRDefault="00AF0282" w:rsidP="00AF0282">
      <w:pPr>
        <w:spacing w:after="200" w:line="276" w:lineRule="auto"/>
        <w:jc w:val="center"/>
        <w:rPr>
          <w:rFonts w:asciiTheme="minorHAnsi" w:eastAsiaTheme="minorHAnsi" w:hAnsiTheme="minorHAnsi" w:cstheme="minorBidi"/>
          <w:sz w:val="24"/>
          <w:szCs w:val="24"/>
        </w:rPr>
      </w:pPr>
    </w:p>
    <w:p w:rsidR="00AF0282" w:rsidRPr="00D6564C" w:rsidRDefault="00AD46A7" w:rsidP="00AF0282">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w:t>
      </w:r>
      <w:r w:rsidR="00AF0282" w:rsidRPr="00D6564C">
        <w:rPr>
          <w:rFonts w:asciiTheme="minorHAnsi" w:eastAsiaTheme="minorHAnsi" w:hAnsiTheme="minorHAnsi" w:cstheme="minorBidi"/>
          <w:sz w:val="24"/>
          <w:szCs w:val="24"/>
        </w:rPr>
        <w:t>NAME OF FILING ENTITY</w:t>
      </w:r>
      <w:r>
        <w:rPr>
          <w:rFonts w:asciiTheme="minorHAnsi" w:eastAsiaTheme="minorHAnsi" w:hAnsiTheme="minorHAnsi" w:cstheme="minorBidi"/>
          <w:sz w:val="24"/>
          <w:szCs w:val="24"/>
        </w:rPr>
        <w:t>]</w:t>
      </w:r>
    </w:p>
    <w:p w:rsidR="00AF0282" w:rsidRPr="00D6564C" w:rsidRDefault="00AF0282" w:rsidP="00AF0282">
      <w:pPr>
        <w:spacing w:after="200" w:line="276" w:lineRule="auto"/>
        <w:jc w:val="center"/>
        <w:rPr>
          <w:rFonts w:asciiTheme="minorHAnsi" w:eastAsiaTheme="minorHAnsi" w:hAnsiTheme="minorHAnsi" w:cstheme="minorBidi"/>
          <w:sz w:val="24"/>
          <w:szCs w:val="24"/>
        </w:rPr>
      </w:pPr>
      <w:r w:rsidRPr="00D6564C">
        <w:rPr>
          <w:rFonts w:asciiTheme="minorHAnsi" w:eastAsiaTheme="minorHAnsi" w:hAnsiTheme="minorHAnsi" w:cstheme="minorBidi"/>
          <w:sz w:val="24"/>
          <w:szCs w:val="24"/>
        </w:rPr>
        <w:t>2018 INTEGRATED RESOURCE PLAN</w:t>
      </w:r>
    </w:p>
    <w:p w:rsidR="00AF0282" w:rsidRPr="00D6564C" w:rsidRDefault="00AD46A7" w:rsidP="00AF0282">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[DATE]</w:t>
      </w:r>
    </w:p>
    <w:p w:rsidR="00AF0282" w:rsidRPr="00D6564C" w:rsidRDefault="00AF0282" w:rsidP="00AF0282">
      <w:pPr>
        <w:spacing w:after="200" w:line="276" w:lineRule="auto"/>
        <w:rPr>
          <w:rFonts w:asciiTheme="minorHAnsi" w:eastAsiaTheme="minorHAnsi" w:hAnsiTheme="minorHAnsi" w:cstheme="minorBidi"/>
          <w:sz w:val="22"/>
          <w:szCs w:val="22"/>
        </w:rPr>
      </w:pPr>
    </w:p>
    <w:p w:rsidR="00AF0282" w:rsidRPr="00D6564C" w:rsidRDefault="00AF0282" w:rsidP="00AF0282">
      <w:pPr>
        <w:keepNext/>
        <w:keepLines/>
        <w:numPr>
          <w:ilvl w:val="0"/>
          <w:numId w:val="1"/>
        </w:numPr>
        <w:spacing w:before="480" w:after="240" w:line="276" w:lineRule="auto"/>
        <w:ind w:left="360"/>
        <w:outlineLvl w:val="0"/>
        <w:rPr>
          <w:rFonts w:asciiTheme="majorHAnsi" w:eastAsiaTheme="majorEastAsia" w:hAnsiTheme="majorHAnsi" w:cstheme="majorBidi"/>
          <w:b/>
          <w:bCs/>
          <w:sz w:val="28"/>
          <w:szCs w:val="28"/>
        </w:rPr>
      </w:pPr>
      <w:r w:rsidRPr="00D6564C">
        <w:rPr>
          <w:rFonts w:asciiTheme="majorHAnsi" w:eastAsiaTheme="majorEastAsia" w:hAnsiTheme="majorHAnsi" w:cstheme="majorBidi"/>
          <w:b/>
          <w:bCs/>
          <w:sz w:val="28"/>
          <w:szCs w:val="28"/>
        </w:rPr>
        <w:br w:type="page"/>
      </w:r>
      <w:bookmarkStart w:id="0" w:name="_GoBack"/>
      <w:bookmarkEnd w:id="0"/>
    </w:p>
    <w:bookmarkStart w:id="1" w:name="_Toc501375917" w:displacedByCustomXml="next"/>
    <w:bookmarkStart w:id="2" w:name="_Toc500430335" w:displacedByCustomXml="next"/>
    <w:sdt>
      <w:sdtPr>
        <w:rPr>
          <w:rFonts w:asciiTheme="minorHAnsi" w:eastAsiaTheme="minorHAnsi" w:hAnsiTheme="minorHAnsi" w:cstheme="minorBidi"/>
          <w:sz w:val="22"/>
          <w:szCs w:val="22"/>
        </w:rPr>
        <w:id w:val="340439288"/>
        <w:docPartObj>
          <w:docPartGallery w:val="Table of Contents"/>
          <w:docPartUnique/>
        </w:docPartObj>
      </w:sdtPr>
      <w:sdtEndPr>
        <w:rPr>
          <w:noProof/>
        </w:rPr>
      </w:sdtEndPr>
      <w:sdtContent>
        <w:p w:rsidR="00AF0282" w:rsidRPr="00D6564C" w:rsidRDefault="00AF0282" w:rsidP="00AF0282">
          <w:pPr>
            <w:keepNext/>
            <w:keepLines/>
            <w:spacing w:before="480" w:after="240" w:line="276" w:lineRule="auto"/>
            <w:outlineLvl w:val="0"/>
            <w:rPr>
              <w:rFonts w:asciiTheme="majorHAnsi" w:eastAsiaTheme="majorEastAsia" w:hAnsiTheme="majorHAnsi" w:cstheme="majorBidi"/>
              <w:b/>
              <w:bCs/>
              <w:noProof/>
              <w:sz w:val="28"/>
              <w:szCs w:val="28"/>
            </w:rPr>
          </w:pPr>
          <w:r w:rsidRPr="00D6564C">
            <w:rPr>
              <w:rFonts w:asciiTheme="majorHAnsi" w:eastAsiaTheme="majorEastAsia" w:hAnsiTheme="majorHAnsi" w:cstheme="majorBidi"/>
              <w:b/>
              <w:bCs/>
              <w:sz w:val="28"/>
              <w:szCs w:val="28"/>
            </w:rPr>
            <w:t>Table of Contents</w:t>
          </w:r>
          <w:bookmarkEnd w:id="2"/>
          <w:bookmarkEnd w:id="1"/>
          <w:r w:rsidRPr="00D6564C">
            <w:rPr>
              <w:rFonts w:asciiTheme="majorHAnsi" w:eastAsiaTheme="majorEastAsia" w:hAnsiTheme="majorHAnsi" w:cstheme="majorBidi"/>
              <w:sz w:val="28"/>
              <w:szCs w:val="28"/>
            </w:rPr>
            <w:fldChar w:fldCharType="begin"/>
          </w:r>
          <w:r w:rsidRPr="00D6564C">
            <w:rPr>
              <w:rFonts w:asciiTheme="majorHAnsi" w:eastAsiaTheme="majorEastAsia" w:hAnsiTheme="majorHAnsi" w:cstheme="majorBidi"/>
              <w:b/>
              <w:bCs/>
              <w:sz w:val="28"/>
              <w:szCs w:val="28"/>
            </w:rPr>
            <w:instrText xml:space="preserve"> TOC \o "1-3" \h \z \u </w:instrText>
          </w:r>
          <w:r w:rsidRPr="00D6564C">
            <w:rPr>
              <w:rFonts w:asciiTheme="majorHAnsi" w:eastAsiaTheme="majorEastAsia" w:hAnsiTheme="majorHAnsi" w:cstheme="majorBidi"/>
              <w:sz w:val="28"/>
              <w:szCs w:val="28"/>
            </w:rPr>
            <w:fldChar w:fldCharType="separate"/>
          </w:r>
        </w:p>
        <w:p w:rsidR="00AF0282" w:rsidRPr="00D6564C" w:rsidRDefault="001F4769" w:rsidP="00AF0282">
          <w:pPr>
            <w:tabs>
              <w:tab w:val="right" w:leader="dot" w:pos="9350"/>
            </w:tabs>
            <w:spacing w:after="100" w:line="276" w:lineRule="auto"/>
            <w:rPr>
              <w:rFonts w:asciiTheme="minorHAnsi" w:eastAsiaTheme="minorEastAsia" w:hAnsiTheme="minorHAnsi" w:cstheme="minorBidi"/>
              <w:noProof/>
              <w:sz w:val="22"/>
              <w:szCs w:val="22"/>
            </w:rPr>
          </w:pPr>
          <w:hyperlink w:anchor="_Toc501375917" w:history="1">
            <w:r w:rsidR="00AF0282" w:rsidRPr="00D6564C">
              <w:rPr>
                <w:rFonts w:asciiTheme="minorHAnsi" w:eastAsiaTheme="minorHAnsi" w:hAnsiTheme="minorHAnsi" w:cstheme="minorBidi"/>
                <w:noProof/>
                <w:color w:val="0000FF" w:themeColor="hyperlink"/>
                <w:sz w:val="22"/>
                <w:szCs w:val="22"/>
                <w:u w:val="single"/>
              </w:rPr>
              <w:t>Table of Contents</w:t>
            </w:r>
            <w:r w:rsidR="00AF0282" w:rsidRPr="00D6564C">
              <w:rPr>
                <w:rFonts w:asciiTheme="minorHAnsi" w:eastAsiaTheme="minorHAnsi" w:hAnsiTheme="minorHAnsi" w:cstheme="minorBidi"/>
                <w:noProof/>
                <w:webHidden/>
                <w:sz w:val="22"/>
                <w:szCs w:val="22"/>
              </w:rPr>
              <w:tab/>
            </w:r>
            <w:r w:rsidR="00AF0282" w:rsidRPr="00D6564C">
              <w:rPr>
                <w:rFonts w:asciiTheme="minorHAnsi" w:eastAsiaTheme="minorHAnsi" w:hAnsiTheme="minorHAnsi" w:cstheme="minorBidi"/>
                <w:noProof/>
                <w:webHidden/>
                <w:sz w:val="22"/>
                <w:szCs w:val="22"/>
              </w:rPr>
              <w:fldChar w:fldCharType="begin"/>
            </w:r>
            <w:r w:rsidR="00AF0282" w:rsidRPr="00D6564C">
              <w:rPr>
                <w:rFonts w:asciiTheme="minorHAnsi" w:eastAsiaTheme="minorHAnsi" w:hAnsiTheme="minorHAnsi" w:cstheme="minorBidi"/>
                <w:noProof/>
                <w:webHidden/>
                <w:sz w:val="22"/>
                <w:szCs w:val="22"/>
              </w:rPr>
              <w:instrText xml:space="preserve"> PAGEREF _Toc501375917 \h </w:instrText>
            </w:r>
            <w:r w:rsidR="00AF0282" w:rsidRPr="00D6564C">
              <w:rPr>
                <w:rFonts w:asciiTheme="minorHAnsi" w:eastAsiaTheme="minorHAnsi" w:hAnsiTheme="minorHAnsi" w:cstheme="minorBidi"/>
                <w:noProof/>
                <w:webHidden/>
                <w:sz w:val="22"/>
                <w:szCs w:val="22"/>
              </w:rPr>
            </w:r>
            <w:r w:rsidR="00AF0282" w:rsidRPr="00D6564C">
              <w:rPr>
                <w:rFonts w:asciiTheme="minorHAnsi" w:eastAsiaTheme="minorHAnsi" w:hAnsiTheme="minorHAnsi" w:cstheme="minorBidi"/>
                <w:noProof/>
                <w:webHidden/>
                <w:sz w:val="22"/>
                <w:szCs w:val="22"/>
              </w:rPr>
              <w:fldChar w:fldCharType="separate"/>
            </w:r>
            <w:r w:rsidR="00916BEF">
              <w:rPr>
                <w:rFonts w:asciiTheme="minorHAnsi" w:eastAsiaTheme="minorHAnsi" w:hAnsiTheme="minorHAnsi" w:cstheme="minorBidi"/>
                <w:noProof/>
                <w:webHidden/>
                <w:sz w:val="22"/>
                <w:szCs w:val="22"/>
              </w:rPr>
              <w:t>2</w:t>
            </w:r>
            <w:r w:rsidR="00AF0282" w:rsidRPr="00D6564C">
              <w:rPr>
                <w:rFonts w:asciiTheme="minorHAnsi" w:eastAsiaTheme="minorHAnsi" w:hAnsiTheme="minorHAnsi" w:cstheme="minorBidi"/>
                <w:noProof/>
                <w:webHidden/>
                <w:sz w:val="22"/>
                <w:szCs w:val="22"/>
              </w:rPr>
              <w:fldChar w:fldCharType="end"/>
            </w:r>
          </w:hyperlink>
        </w:p>
        <w:p w:rsidR="00AF0282" w:rsidRPr="00D6564C" w:rsidRDefault="001F4769" w:rsidP="00AF0282">
          <w:pPr>
            <w:tabs>
              <w:tab w:val="left" w:pos="440"/>
              <w:tab w:val="right" w:leader="dot" w:pos="9350"/>
            </w:tabs>
            <w:spacing w:after="100" w:line="276" w:lineRule="auto"/>
            <w:rPr>
              <w:rFonts w:asciiTheme="minorHAnsi" w:eastAsiaTheme="minorEastAsia" w:hAnsiTheme="minorHAnsi" w:cstheme="minorBidi"/>
              <w:noProof/>
              <w:sz w:val="22"/>
              <w:szCs w:val="22"/>
            </w:rPr>
          </w:pPr>
          <w:hyperlink w:anchor="_Toc501375918" w:history="1">
            <w:r w:rsidR="00AF0282" w:rsidRPr="00D6564C">
              <w:rPr>
                <w:rFonts w:asciiTheme="minorHAnsi" w:eastAsiaTheme="minorHAnsi" w:hAnsiTheme="minorHAnsi" w:cstheme="minorBidi"/>
                <w:noProof/>
                <w:color w:val="0000FF" w:themeColor="hyperlink"/>
                <w:sz w:val="22"/>
                <w:szCs w:val="22"/>
                <w:u w:val="single"/>
              </w:rPr>
              <w:t>1.</w:t>
            </w:r>
            <w:r w:rsidR="00AF0282" w:rsidRPr="00D6564C">
              <w:rPr>
                <w:rFonts w:asciiTheme="minorHAnsi" w:eastAsiaTheme="minorEastAsia" w:hAnsiTheme="minorHAnsi" w:cstheme="minorBidi"/>
                <w:noProof/>
                <w:sz w:val="22"/>
                <w:szCs w:val="22"/>
              </w:rPr>
              <w:tab/>
            </w:r>
            <w:r w:rsidR="00AF0282" w:rsidRPr="00D6564C">
              <w:rPr>
                <w:rFonts w:asciiTheme="minorHAnsi" w:eastAsiaTheme="minorHAnsi" w:hAnsiTheme="minorHAnsi" w:cstheme="minorBidi"/>
                <w:noProof/>
                <w:color w:val="0000FF" w:themeColor="hyperlink"/>
                <w:sz w:val="22"/>
                <w:szCs w:val="22"/>
                <w:u w:val="single"/>
              </w:rPr>
              <w:t>Executive Summary</w:t>
            </w:r>
            <w:r w:rsidR="00AF0282" w:rsidRPr="00D6564C">
              <w:rPr>
                <w:rFonts w:asciiTheme="minorHAnsi" w:eastAsiaTheme="minorHAnsi" w:hAnsiTheme="minorHAnsi" w:cstheme="minorBidi"/>
                <w:noProof/>
                <w:webHidden/>
                <w:sz w:val="22"/>
                <w:szCs w:val="22"/>
              </w:rPr>
              <w:tab/>
            </w:r>
            <w:r w:rsidR="00AF0282" w:rsidRPr="00D6564C">
              <w:rPr>
                <w:rFonts w:asciiTheme="minorHAnsi" w:eastAsiaTheme="minorHAnsi" w:hAnsiTheme="minorHAnsi" w:cstheme="minorBidi"/>
                <w:noProof/>
                <w:webHidden/>
                <w:sz w:val="22"/>
                <w:szCs w:val="22"/>
              </w:rPr>
              <w:fldChar w:fldCharType="begin"/>
            </w:r>
            <w:r w:rsidR="00AF0282" w:rsidRPr="00D6564C">
              <w:rPr>
                <w:rFonts w:asciiTheme="minorHAnsi" w:eastAsiaTheme="minorHAnsi" w:hAnsiTheme="minorHAnsi" w:cstheme="minorBidi"/>
                <w:noProof/>
                <w:webHidden/>
                <w:sz w:val="22"/>
                <w:szCs w:val="22"/>
              </w:rPr>
              <w:instrText xml:space="preserve"> PAGEREF _Toc501375918 \h </w:instrText>
            </w:r>
            <w:r w:rsidR="00AF0282" w:rsidRPr="00D6564C">
              <w:rPr>
                <w:rFonts w:asciiTheme="minorHAnsi" w:eastAsiaTheme="minorHAnsi" w:hAnsiTheme="minorHAnsi" w:cstheme="minorBidi"/>
                <w:noProof/>
                <w:webHidden/>
                <w:sz w:val="22"/>
                <w:szCs w:val="22"/>
              </w:rPr>
            </w:r>
            <w:r w:rsidR="00AF0282" w:rsidRPr="00D6564C">
              <w:rPr>
                <w:rFonts w:asciiTheme="minorHAnsi" w:eastAsiaTheme="minorHAnsi" w:hAnsiTheme="minorHAnsi" w:cstheme="minorBidi"/>
                <w:noProof/>
                <w:webHidden/>
                <w:sz w:val="22"/>
                <w:szCs w:val="22"/>
              </w:rPr>
              <w:fldChar w:fldCharType="separate"/>
            </w:r>
            <w:r w:rsidR="00916BEF">
              <w:rPr>
                <w:rFonts w:asciiTheme="minorHAnsi" w:eastAsiaTheme="minorHAnsi" w:hAnsiTheme="minorHAnsi" w:cstheme="minorBidi"/>
                <w:noProof/>
                <w:webHidden/>
                <w:sz w:val="22"/>
                <w:szCs w:val="22"/>
              </w:rPr>
              <w:t>3</w:t>
            </w:r>
            <w:r w:rsidR="00AF0282" w:rsidRPr="00D6564C">
              <w:rPr>
                <w:rFonts w:asciiTheme="minorHAnsi" w:eastAsiaTheme="minorHAnsi" w:hAnsiTheme="minorHAnsi" w:cstheme="minorBidi"/>
                <w:noProof/>
                <w:webHidden/>
                <w:sz w:val="22"/>
                <w:szCs w:val="22"/>
              </w:rPr>
              <w:fldChar w:fldCharType="end"/>
            </w:r>
          </w:hyperlink>
        </w:p>
        <w:p w:rsidR="00AF0282" w:rsidRPr="00D6564C" w:rsidRDefault="001F4769" w:rsidP="00AF0282">
          <w:pPr>
            <w:tabs>
              <w:tab w:val="left" w:pos="440"/>
              <w:tab w:val="right" w:leader="dot" w:pos="9350"/>
            </w:tabs>
            <w:spacing w:after="100" w:line="276" w:lineRule="auto"/>
            <w:rPr>
              <w:rFonts w:asciiTheme="minorHAnsi" w:eastAsiaTheme="minorEastAsia" w:hAnsiTheme="minorHAnsi" w:cstheme="minorBidi"/>
              <w:noProof/>
              <w:sz w:val="22"/>
              <w:szCs w:val="22"/>
            </w:rPr>
          </w:pPr>
          <w:hyperlink w:anchor="_Toc501375919" w:history="1">
            <w:r w:rsidR="00AF0282" w:rsidRPr="00D6564C">
              <w:rPr>
                <w:rFonts w:asciiTheme="minorHAnsi" w:eastAsiaTheme="minorHAnsi" w:hAnsiTheme="minorHAnsi" w:cstheme="minorBidi"/>
                <w:noProof/>
                <w:color w:val="0000FF" w:themeColor="hyperlink"/>
                <w:sz w:val="22"/>
                <w:szCs w:val="22"/>
                <w:u w:val="single"/>
              </w:rPr>
              <w:t>2.</w:t>
            </w:r>
            <w:r w:rsidR="00AF0282" w:rsidRPr="00D6564C">
              <w:rPr>
                <w:rFonts w:asciiTheme="minorHAnsi" w:eastAsiaTheme="minorEastAsia" w:hAnsiTheme="minorHAnsi" w:cstheme="minorBidi"/>
                <w:noProof/>
                <w:sz w:val="22"/>
                <w:szCs w:val="22"/>
              </w:rPr>
              <w:tab/>
            </w:r>
            <w:r w:rsidR="00AF0282" w:rsidRPr="00D6564C">
              <w:rPr>
                <w:rFonts w:asciiTheme="minorHAnsi" w:eastAsiaTheme="minorHAnsi" w:hAnsiTheme="minorHAnsi" w:cstheme="minorBidi"/>
                <w:noProof/>
                <w:color w:val="0000FF" w:themeColor="hyperlink"/>
                <w:sz w:val="22"/>
                <w:szCs w:val="22"/>
                <w:u w:val="single"/>
              </w:rPr>
              <w:t>Study Design</w:t>
            </w:r>
            <w:r w:rsidR="00AF0282" w:rsidRPr="00D6564C">
              <w:rPr>
                <w:rFonts w:asciiTheme="minorHAnsi" w:eastAsiaTheme="minorHAnsi" w:hAnsiTheme="minorHAnsi" w:cstheme="minorBidi"/>
                <w:noProof/>
                <w:webHidden/>
                <w:sz w:val="22"/>
                <w:szCs w:val="22"/>
              </w:rPr>
              <w:tab/>
            </w:r>
            <w:r w:rsidR="00AF0282" w:rsidRPr="00D6564C">
              <w:rPr>
                <w:rFonts w:asciiTheme="minorHAnsi" w:eastAsiaTheme="minorHAnsi" w:hAnsiTheme="minorHAnsi" w:cstheme="minorBidi"/>
                <w:noProof/>
                <w:webHidden/>
                <w:sz w:val="22"/>
                <w:szCs w:val="22"/>
              </w:rPr>
              <w:fldChar w:fldCharType="begin"/>
            </w:r>
            <w:r w:rsidR="00AF0282" w:rsidRPr="00D6564C">
              <w:rPr>
                <w:rFonts w:asciiTheme="minorHAnsi" w:eastAsiaTheme="minorHAnsi" w:hAnsiTheme="minorHAnsi" w:cstheme="minorBidi"/>
                <w:noProof/>
                <w:webHidden/>
                <w:sz w:val="22"/>
                <w:szCs w:val="22"/>
              </w:rPr>
              <w:instrText xml:space="preserve"> PAGEREF _Toc501375919 \h </w:instrText>
            </w:r>
            <w:r w:rsidR="00AF0282" w:rsidRPr="00D6564C">
              <w:rPr>
                <w:rFonts w:asciiTheme="minorHAnsi" w:eastAsiaTheme="minorHAnsi" w:hAnsiTheme="minorHAnsi" w:cstheme="minorBidi"/>
                <w:noProof/>
                <w:webHidden/>
                <w:sz w:val="22"/>
                <w:szCs w:val="22"/>
              </w:rPr>
            </w:r>
            <w:r w:rsidR="00AF0282" w:rsidRPr="00D6564C">
              <w:rPr>
                <w:rFonts w:asciiTheme="minorHAnsi" w:eastAsiaTheme="minorHAnsi" w:hAnsiTheme="minorHAnsi" w:cstheme="minorBidi"/>
                <w:noProof/>
                <w:webHidden/>
                <w:sz w:val="22"/>
                <w:szCs w:val="22"/>
              </w:rPr>
              <w:fldChar w:fldCharType="separate"/>
            </w:r>
            <w:r w:rsidR="00916BEF">
              <w:rPr>
                <w:rFonts w:asciiTheme="minorHAnsi" w:eastAsiaTheme="minorHAnsi" w:hAnsiTheme="minorHAnsi" w:cstheme="minorBidi"/>
                <w:noProof/>
                <w:webHidden/>
                <w:sz w:val="22"/>
                <w:szCs w:val="22"/>
              </w:rPr>
              <w:t>3</w:t>
            </w:r>
            <w:r w:rsidR="00AF0282" w:rsidRPr="00D6564C">
              <w:rPr>
                <w:rFonts w:asciiTheme="minorHAnsi" w:eastAsiaTheme="minorHAnsi" w:hAnsiTheme="minorHAnsi" w:cstheme="minorBidi"/>
                <w:noProof/>
                <w:webHidden/>
                <w:sz w:val="22"/>
                <w:szCs w:val="22"/>
              </w:rPr>
              <w:fldChar w:fldCharType="end"/>
            </w:r>
          </w:hyperlink>
        </w:p>
        <w:p w:rsidR="00AF0282" w:rsidRPr="00D6564C" w:rsidRDefault="001F4769" w:rsidP="00AF0282">
          <w:pPr>
            <w:tabs>
              <w:tab w:val="left" w:pos="990"/>
              <w:tab w:val="right" w:leader="dot" w:pos="9350"/>
            </w:tabs>
            <w:spacing w:after="100" w:line="276" w:lineRule="auto"/>
            <w:ind w:left="220" w:firstLine="230"/>
            <w:rPr>
              <w:rFonts w:asciiTheme="minorHAnsi" w:eastAsiaTheme="minorEastAsia" w:hAnsiTheme="minorHAnsi" w:cstheme="minorBidi"/>
              <w:noProof/>
              <w:sz w:val="22"/>
              <w:szCs w:val="22"/>
            </w:rPr>
          </w:pPr>
          <w:hyperlink w:anchor="_Toc501375920" w:history="1">
            <w:r w:rsidR="00AF0282" w:rsidRPr="00D6564C">
              <w:rPr>
                <w:rFonts w:asciiTheme="minorHAnsi" w:eastAsiaTheme="minorHAnsi" w:hAnsiTheme="minorHAnsi" w:cstheme="minorBidi"/>
                <w:noProof/>
                <w:color w:val="0000FF" w:themeColor="hyperlink"/>
                <w:sz w:val="22"/>
                <w:szCs w:val="22"/>
                <w:u w:val="single"/>
              </w:rPr>
              <w:t>2.1.</w:t>
            </w:r>
            <w:r w:rsidR="00AF0282" w:rsidRPr="00D6564C">
              <w:rPr>
                <w:rFonts w:asciiTheme="minorHAnsi" w:eastAsiaTheme="minorEastAsia" w:hAnsiTheme="minorHAnsi" w:cstheme="minorBidi"/>
                <w:noProof/>
                <w:sz w:val="22"/>
                <w:szCs w:val="22"/>
              </w:rPr>
              <w:tab/>
            </w:r>
            <w:r w:rsidR="00AF0282" w:rsidRPr="00D6564C">
              <w:rPr>
                <w:rFonts w:asciiTheme="minorHAnsi" w:eastAsiaTheme="minorHAnsi" w:hAnsiTheme="minorHAnsi" w:cstheme="minorBidi"/>
                <w:noProof/>
                <w:color w:val="0000FF" w:themeColor="hyperlink"/>
                <w:sz w:val="22"/>
                <w:szCs w:val="22"/>
                <w:u w:val="single"/>
              </w:rPr>
              <w:t>Objectives</w:t>
            </w:r>
            <w:r w:rsidR="00AF0282" w:rsidRPr="00D6564C">
              <w:rPr>
                <w:rFonts w:asciiTheme="minorHAnsi" w:eastAsiaTheme="minorHAnsi" w:hAnsiTheme="minorHAnsi" w:cstheme="minorBidi"/>
                <w:noProof/>
                <w:webHidden/>
                <w:sz w:val="22"/>
                <w:szCs w:val="22"/>
              </w:rPr>
              <w:tab/>
            </w:r>
            <w:r w:rsidR="00AF0282" w:rsidRPr="00D6564C">
              <w:rPr>
                <w:rFonts w:asciiTheme="minorHAnsi" w:eastAsiaTheme="minorHAnsi" w:hAnsiTheme="minorHAnsi" w:cstheme="minorBidi"/>
                <w:noProof/>
                <w:webHidden/>
                <w:sz w:val="22"/>
                <w:szCs w:val="22"/>
              </w:rPr>
              <w:fldChar w:fldCharType="begin"/>
            </w:r>
            <w:r w:rsidR="00AF0282" w:rsidRPr="00D6564C">
              <w:rPr>
                <w:rFonts w:asciiTheme="minorHAnsi" w:eastAsiaTheme="minorHAnsi" w:hAnsiTheme="minorHAnsi" w:cstheme="minorBidi"/>
                <w:noProof/>
                <w:webHidden/>
                <w:sz w:val="22"/>
                <w:szCs w:val="22"/>
              </w:rPr>
              <w:instrText xml:space="preserve"> PAGEREF _Toc501375920 \h </w:instrText>
            </w:r>
            <w:r w:rsidR="00AF0282" w:rsidRPr="00D6564C">
              <w:rPr>
                <w:rFonts w:asciiTheme="minorHAnsi" w:eastAsiaTheme="minorHAnsi" w:hAnsiTheme="minorHAnsi" w:cstheme="minorBidi"/>
                <w:noProof/>
                <w:webHidden/>
                <w:sz w:val="22"/>
                <w:szCs w:val="22"/>
              </w:rPr>
            </w:r>
            <w:r w:rsidR="00AF0282" w:rsidRPr="00D6564C">
              <w:rPr>
                <w:rFonts w:asciiTheme="minorHAnsi" w:eastAsiaTheme="minorHAnsi" w:hAnsiTheme="minorHAnsi" w:cstheme="minorBidi"/>
                <w:noProof/>
                <w:webHidden/>
                <w:sz w:val="22"/>
                <w:szCs w:val="22"/>
              </w:rPr>
              <w:fldChar w:fldCharType="separate"/>
            </w:r>
            <w:r w:rsidR="00916BEF">
              <w:rPr>
                <w:rFonts w:asciiTheme="minorHAnsi" w:eastAsiaTheme="minorHAnsi" w:hAnsiTheme="minorHAnsi" w:cstheme="minorBidi"/>
                <w:noProof/>
                <w:webHidden/>
                <w:sz w:val="22"/>
                <w:szCs w:val="22"/>
              </w:rPr>
              <w:t>5</w:t>
            </w:r>
            <w:r w:rsidR="00AF0282" w:rsidRPr="00D6564C">
              <w:rPr>
                <w:rFonts w:asciiTheme="minorHAnsi" w:eastAsiaTheme="minorHAnsi" w:hAnsiTheme="minorHAnsi" w:cstheme="minorBidi"/>
                <w:noProof/>
                <w:webHidden/>
                <w:sz w:val="22"/>
                <w:szCs w:val="22"/>
              </w:rPr>
              <w:fldChar w:fldCharType="end"/>
            </w:r>
          </w:hyperlink>
        </w:p>
        <w:p w:rsidR="00AF0282" w:rsidRPr="00D6564C" w:rsidRDefault="001F4769" w:rsidP="00AF0282">
          <w:pPr>
            <w:tabs>
              <w:tab w:val="left" w:pos="990"/>
              <w:tab w:val="right" w:leader="dot" w:pos="9350"/>
            </w:tabs>
            <w:spacing w:after="100" w:line="276" w:lineRule="auto"/>
            <w:ind w:left="220" w:firstLine="230"/>
            <w:rPr>
              <w:rFonts w:asciiTheme="minorHAnsi" w:eastAsiaTheme="minorEastAsia" w:hAnsiTheme="minorHAnsi" w:cstheme="minorBidi"/>
              <w:noProof/>
              <w:sz w:val="22"/>
              <w:szCs w:val="22"/>
            </w:rPr>
          </w:pPr>
          <w:hyperlink w:anchor="_Toc501375921" w:history="1">
            <w:r w:rsidR="00AF0282" w:rsidRPr="00D6564C">
              <w:rPr>
                <w:rFonts w:asciiTheme="minorHAnsi" w:eastAsiaTheme="minorHAnsi" w:hAnsiTheme="minorHAnsi" w:cstheme="minorBidi"/>
                <w:noProof/>
                <w:color w:val="0000FF" w:themeColor="hyperlink"/>
                <w:sz w:val="22"/>
                <w:szCs w:val="22"/>
                <w:u w:val="single"/>
              </w:rPr>
              <w:t>2.2.</w:t>
            </w:r>
            <w:r w:rsidR="00AF0282" w:rsidRPr="00D6564C">
              <w:rPr>
                <w:rFonts w:asciiTheme="minorHAnsi" w:eastAsiaTheme="minorEastAsia" w:hAnsiTheme="minorHAnsi" w:cstheme="minorBidi"/>
                <w:noProof/>
                <w:sz w:val="22"/>
                <w:szCs w:val="22"/>
              </w:rPr>
              <w:tab/>
            </w:r>
            <w:r w:rsidR="00AF0282" w:rsidRPr="00D6564C">
              <w:rPr>
                <w:rFonts w:asciiTheme="minorHAnsi" w:eastAsiaTheme="minorHAnsi" w:hAnsiTheme="minorHAnsi" w:cstheme="minorBidi"/>
                <w:noProof/>
                <w:color w:val="0000FF" w:themeColor="hyperlink"/>
                <w:sz w:val="22"/>
                <w:szCs w:val="22"/>
                <w:u w:val="single"/>
              </w:rPr>
              <w:t>Methodology</w:t>
            </w:r>
            <w:r w:rsidR="00AF0282" w:rsidRPr="00D6564C">
              <w:rPr>
                <w:rFonts w:asciiTheme="minorHAnsi" w:eastAsiaTheme="minorHAnsi" w:hAnsiTheme="minorHAnsi" w:cstheme="minorBidi"/>
                <w:noProof/>
                <w:webHidden/>
                <w:sz w:val="22"/>
                <w:szCs w:val="22"/>
              </w:rPr>
              <w:tab/>
            </w:r>
            <w:r w:rsidR="00AF0282" w:rsidRPr="00D6564C">
              <w:rPr>
                <w:rFonts w:asciiTheme="minorHAnsi" w:eastAsiaTheme="minorHAnsi" w:hAnsiTheme="minorHAnsi" w:cstheme="minorBidi"/>
                <w:noProof/>
                <w:webHidden/>
                <w:sz w:val="22"/>
                <w:szCs w:val="22"/>
              </w:rPr>
              <w:fldChar w:fldCharType="begin"/>
            </w:r>
            <w:r w:rsidR="00AF0282" w:rsidRPr="00D6564C">
              <w:rPr>
                <w:rFonts w:asciiTheme="minorHAnsi" w:eastAsiaTheme="minorHAnsi" w:hAnsiTheme="minorHAnsi" w:cstheme="minorBidi"/>
                <w:noProof/>
                <w:webHidden/>
                <w:sz w:val="22"/>
                <w:szCs w:val="22"/>
              </w:rPr>
              <w:instrText xml:space="preserve"> PAGEREF _Toc501375921 \h </w:instrText>
            </w:r>
            <w:r w:rsidR="00AF0282" w:rsidRPr="00D6564C">
              <w:rPr>
                <w:rFonts w:asciiTheme="minorHAnsi" w:eastAsiaTheme="minorHAnsi" w:hAnsiTheme="minorHAnsi" w:cstheme="minorBidi"/>
                <w:noProof/>
                <w:webHidden/>
                <w:sz w:val="22"/>
                <w:szCs w:val="22"/>
              </w:rPr>
            </w:r>
            <w:r w:rsidR="00AF0282" w:rsidRPr="00D6564C">
              <w:rPr>
                <w:rFonts w:asciiTheme="minorHAnsi" w:eastAsiaTheme="minorHAnsi" w:hAnsiTheme="minorHAnsi" w:cstheme="minorBidi"/>
                <w:noProof/>
                <w:webHidden/>
                <w:sz w:val="22"/>
                <w:szCs w:val="22"/>
              </w:rPr>
              <w:fldChar w:fldCharType="separate"/>
            </w:r>
            <w:r w:rsidR="00916BEF">
              <w:rPr>
                <w:rFonts w:asciiTheme="minorHAnsi" w:eastAsiaTheme="minorHAnsi" w:hAnsiTheme="minorHAnsi" w:cstheme="minorBidi"/>
                <w:noProof/>
                <w:webHidden/>
                <w:sz w:val="22"/>
                <w:szCs w:val="22"/>
              </w:rPr>
              <w:t>6</w:t>
            </w:r>
            <w:r w:rsidR="00AF0282" w:rsidRPr="00D6564C">
              <w:rPr>
                <w:rFonts w:asciiTheme="minorHAnsi" w:eastAsiaTheme="minorHAnsi" w:hAnsiTheme="minorHAnsi" w:cstheme="minorBidi"/>
                <w:noProof/>
                <w:webHidden/>
                <w:sz w:val="22"/>
                <w:szCs w:val="22"/>
              </w:rPr>
              <w:fldChar w:fldCharType="end"/>
            </w:r>
          </w:hyperlink>
        </w:p>
        <w:p w:rsidR="00AF0282" w:rsidRPr="00D6564C" w:rsidRDefault="001F4769" w:rsidP="00AF0282">
          <w:pPr>
            <w:tabs>
              <w:tab w:val="left" w:pos="1710"/>
              <w:tab w:val="right" w:leader="dot" w:pos="9350"/>
            </w:tabs>
            <w:spacing w:after="100" w:line="276" w:lineRule="auto"/>
            <w:ind w:left="440" w:firstLine="550"/>
            <w:rPr>
              <w:rFonts w:asciiTheme="minorHAnsi" w:eastAsiaTheme="minorEastAsia" w:hAnsiTheme="minorHAnsi" w:cstheme="minorBidi"/>
              <w:noProof/>
              <w:sz w:val="22"/>
              <w:szCs w:val="22"/>
            </w:rPr>
          </w:pPr>
          <w:hyperlink w:anchor="_Toc501375922" w:history="1">
            <w:r w:rsidR="00AF0282" w:rsidRPr="00D6564C">
              <w:rPr>
                <w:rFonts w:asciiTheme="minorHAnsi" w:eastAsiaTheme="minorHAnsi" w:hAnsiTheme="minorHAnsi" w:cstheme="minorBidi"/>
                <w:noProof/>
                <w:color w:val="0000FF" w:themeColor="hyperlink"/>
                <w:sz w:val="22"/>
                <w:szCs w:val="22"/>
                <w:u w:val="single"/>
              </w:rPr>
              <w:t>2.2.1.</w:t>
            </w:r>
            <w:r w:rsidR="00AF0282" w:rsidRPr="00D6564C">
              <w:rPr>
                <w:rFonts w:asciiTheme="minorHAnsi" w:eastAsiaTheme="minorEastAsia" w:hAnsiTheme="minorHAnsi" w:cstheme="minorBidi"/>
                <w:noProof/>
                <w:sz w:val="22"/>
                <w:szCs w:val="22"/>
              </w:rPr>
              <w:tab/>
            </w:r>
            <w:r w:rsidR="00AF0282" w:rsidRPr="00D6564C">
              <w:rPr>
                <w:rFonts w:asciiTheme="minorHAnsi" w:eastAsiaTheme="minorHAnsi" w:hAnsiTheme="minorHAnsi" w:cstheme="minorBidi"/>
                <w:noProof/>
                <w:color w:val="0000FF" w:themeColor="hyperlink"/>
                <w:sz w:val="22"/>
                <w:szCs w:val="22"/>
                <w:u w:val="single"/>
              </w:rPr>
              <w:t>Modeling Tool(s)</w:t>
            </w:r>
            <w:r w:rsidR="00AF0282" w:rsidRPr="00D6564C">
              <w:rPr>
                <w:rFonts w:asciiTheme="minorHAnsi" w:eastAsiaTheme="minorHAnsi" w:hAnsiTheme="minorHAnsi" w:cstheme="minorBidi"/>
                <w:noProof/>
                <w:webHidden/>
                <w:sz w:val="22"/>
                <w:szCs w:val="22"/>
              </w:rPr>
              <w:tab/>
            </w:r>
            <w:r w:rsidR="00AF0282" w:rsidRPr="00D6564C">
              <w:rPr>
                <w:rFonts w:asciiTheme="minorHAnsi" w:eastAsiaTheme="minorHAnsi" w:hAnsiTheme="minorHAnsi" w:cstheme="minorBidi"/>
                <w:noProof/>
                <w:webHidden/>
                <w:sz w:val="22"/>
                <w:szCs w:val="22"/>
              </w:rPr>
              <w:fldChar w:fldCharType="begin"/>
            </w:r>
            <w:r w:rsidR="00AF0282" w:rsidRPr="00D6564C">
              <w:rPr>
                <w:rFonts w:asciiTheme="minorHAnsi" w:eastAsiaTheme="minorHAnsi" w:hAnsiTheme="minorHAnsi" w:cstheme="minorBidi"/>
                <w:noProof/>
                <w:webHidden/>
                <w:sz w:val="22"/>
                <w:szCs w:val="22"/>
              </w:rPr>
              <w:instrText xml:space="preserve"> PAGEREF _Toc501375922 \h </w:instrText>
            </w:r>
            <w:r w:rsidR="00AF0282" w:rsidRPr="00D6564C">
              <w:rPr>
                <w:rFonts w:asciiTheme="minorHAnsi" w:eastAsiaTheme="minorHAnsi" w:hAnsiTheme="minorHAnsi" w:cstheme="minorBidi"/>
                <w:noProof/>
                <w:webHidden/>
                <w:sz w:val="22"/>
                <w:szCs w:val="22"/>
              </w:rPr>
            </w:r>
            <w:r w:rsidR="00AF0282" w:rsidRPr="00D6564C">
              <w:rPr>
                <w:rFonts w:asciiTheme="minorHAnsi" w:eastAsiaTheme="minorHAnsi" w:hAnsiTheme="minorHAnsi" w:cstheme="minorBidi"/>
                <w:noProof/>
                <w:webHidden/>
                <w:sz w:val="22"/>
                <w:szCs w:val="22"/>
              </w:rPr>
              <w:fldChar w:fldCharType="separate"/>
            </w:r>
            <w:r w:rsidR="00916BEF">
              <w:rPr>
                <w:rFonts w:asciiTheme="minorHAnsi" w:eastAsiaTheme="minorHAnsi" w:hAnsiTheme="minorHAnsi" w:cstheme="minorBidi"/>
                <w:noProof/>
                <w:webHidden/>
                <w:sz w:val="22"/>
                <w:szCs w:val="22"/>
              </w:rPr>
              <w:t>6</w:t>
            </w:r>
            <w:r w:rsidR="00AF0282" w:rsidRPr="00D6564C">
              <w:rPr>
                <w:rFonts w:asciiTheme="minorHAnsi" w:eastAsiaTheme="minorHAnsi" w:hAnsiTheme="minorHAnsi" w:cstheme="minorBidi"/>
                <w:noProof/>
                <w:webHidden/>
                <w:sz w:val="22"/>
                <w:szCs w:val="22"/>
              </w:rPr>
              <w:fldChar w:fldCharType="end"/>
            </w:r>
          </w:hyperlink>
        </w:p>
        <w:p w:rsidR="00AF0282" w:rsidRPr="00D6564C" w:rsidRDefault="00E2641A" w:rsidP="00AF0282">
          <w:pPr>
            <w:tabs>
              <w:tab w:val="left" w:pos="1710"/>
              <w:tab w:val="right" w:leader="dot" w:pos="9350"/>
            </w:tabs>
            <w:spacing w:after="100" w:line="276" w:lineRule="auto"/>
            <w:ind w:left="440" w:firstLine="550"/>
            <w:rPr>
              <w:rFonts w:asciiTheme="minorHAnsi" w:eastAsiaTheme="minorEastAsia" w:hAnsiTheme="minorHAnsi" w:cstheme="minorBidi"/>
              <w:noProof/>
              <w:sz w:val="22"/>
              <w:szCs w:val="22"/>
            </w:rPr>
          </w:pPr>
          <w:hyperlink w:anchor="_Toc501375923" w:history="1">
            <w:r w:rsidR="00AF0282" w:rsidRPr="00D6564C">
              <w:rPr>
                <w:rFonts w:asciiTheme="minorHAnsi" w:eastAsiaTheme="minorHAnsi" w:hAnsiTheme="minorHAnsi" w:cstheme="minorBidi"/>
                <w:noProof/>
                <w:color w:val="0000FF" w:themeColor="hyperlink"/>
                <w:sz w:val="22"/>
                <w:szCs w:val="22"/>
                <w:u w:val="single"/>
              </w:rPr>
              <w:t>2.2.2.</w:t>
            </w:r>
            <w:r w:rsidR="00AF0282" w:rsidRPr="00D6564C">
              <w:rPr>
                <w:rFonts w:asciiTheme="minorHAnsi" w:eastAsiaTheme="minorEastAsia" w:hAnsiTheme="minorHAnsi" w:cstheme="minorBidi"/>
                <w:noProof/>
                <w:sz w:val="22"/>
                <w:szCs w:val="22"/>
              </w:rPr>
              <w:tab/>
            </w:r>
            <w:r w:rsidR="00AF0282" w:rsidRPr="00D6564C">
              <w:rPr>
                <w:rFonts w:asciiTheme="minorHAnsi" w:eastAsiaTheme="minorHAnsi" w:hAnsiTheme="minorHAnsi" w:cstheme="minorBidi"/>
                <w:noProof/>
                <w:color w:val="0000FF" w:themeColor="hyperlink"/>
                <w:sz w:val="22"/>
                <w:szCs w:val="22"/>
                <w:u w:val="single"/>
              </w:rPr>
              <w:t>Modeling Approach</w:t>
            </w:r>
            <w:r w:rsidR="00AF0282" w:rsidRPr="00D6564C">
              <w:rPr>
                <w:rFonts w:asciiTheme="minorHAnsi" w:eastAsiaTheme="minorHAnsi" w:hAnsiTheme="minorHAnsi" w:cstheme="minorBidi"/>
                <w:noProof/>
                <w:webHidden/>
                <w:sz w:val="22"/>
                <w:szCs w:val="22"/>
              </w:rPr>
              <w:tab/>
            </w:r>
            <w:r w:rsidR="00AF0282" w:rsidRPr="00D6564C">
              <w:rPr>
                <w:rFonts w:asciiTheme="minorHAnsi" w:eastAsiaTheme="minorHAnsi" w:hAnsiTheme="minorHAnsi" w:cstheme="minorBidi"/>
                <w:noProof/>
                <w:webHidden/>
                <w:sz w:val="22"/>
                <w:szCs w:val="22"/>
              </w:rPr>
              <w:fldChar w:fldCharType="begin"/>
            </w:r>
            <w:r w:rsidR="00AF0282" w:rsidRPr="00D6564C">
              <w:rPr>
                <w:rFonts w:asciiTheme="minorHAnsi" w:eastAsiaTheme="minorHAnsi" w:hAnsiTheme="minorHAnsi" w:cstheme="minorBidi"/>
                <w:noProof/>
                <w:webHidden/>
                <w:sz w:val="22"/>
                <w:szCs w:val="22"/>
              </w:rPr>
              <w:instrText xml:space="preserve"> PAGEREF _Toc501375923 \h </w:instrText>
            </w:r>
            <w:r w:rsidR="00AF0282" w:rsidRPr="00D6564C">
              <w:rPr>
                <w:rFonts w:asciiTheme="minorHAnsi" w:eastAsiaTheme="minorHAnsi" w:hAnsiTheme="minorHAnsi" w:cstheme="minorBidi"/>
                <w:noProof/>
                <w:webHidden/>
                <w:sz w:val="22"/>
                <w:szCs w:val="22"/>
              </w:rPr>
            </w:r>
            <w:r w:rsidR="00AF0282" w:rsidRPr="00D6564C">
              <w:rPr>
                <w:rFonts w:asciiTheme="minorHAnsi" w:eastAsiaTheme="minorHAnsi" w:hAnsiTheme="minorHAnsi" w:cstheme="minorBidi"/>
                <w:noProof/>
                <w:webHidden/>
                <w:sz w:val="22"/>
                <w:szCs w:val="22"/>
              </w:rPr>
              <w:fldChar w:fldCharType="separate"/>
            </w:r>
            <w:r w:rsidR="00916BEF">
              <w:rPr>
                <w:rFonts w:asciiTheme="minorHAnsi" w:eastAsiaTheme="minorHAnsi" w:hAnsiTheme="minorHAnsi" w:cstheme="minorBidi"/>
                <w:noProof/>
                <w:webHidden/>
                <w:sz w:val="22"/>
                <w:szCs w:val="22"/>
              </w:rPr>
              <w:t>6</w:t>
            </w:r>
            <w:r w:rsidR="00AF0282" w:rsidRPr="00D6564C">
              <w:rPr>
                <w:rFonts w:asciiTheme="minorHAnsi" w:eastAsiaTheme="minorHAnsi" w:hAnsiTheme="minorHAnsi" w:cstheme="minorBidi"/>
                <w:noProof/>
                <w:webHidden/>
                <w:sz w:val="22"/>
                <w:szCs w:val="22"/>
              </w:rPr>
              <w:fldChar w:fldCharType="end"/>
            </w:r>
          </w:hyperlink>
        </w:p>
        <w:p w:rsidR="00AF0282" w:rsidRPr="00D6564C" w:rsidRDefault="00E2641A" w:rsidP="00AF0282">
          <w:pPr>
            <w:tabs>
              <w:tab w:val="left" w:pos="1710"/>
              <w:tab w:val="right" w:leader="dot" w:pos="9350"/>
            </w:tabs>
            <w:spacing w:after="100" w:line="276" w:lineRule="auto"/>
            <w:ind w:left="440" w:firstLine="550"/>
            <w:rPr>
              <w:rFonts w:asciiTheme="minorHAnsi" w:eastAsiaTheme="minorEastAsia" w:hAnsiTheme="minorHAnsi" w:cstheme="minorBidi"/>
              <w:noProof/>
              <w:sz w:val="22"/>
              <w:szCs w:val="22"/>
            </w:rPr>
          </w:pPr>
          <w:hyperlink w:anchor="_Toc501375924" w:history="1">
            <w:r w:rsidR="00AF0282" w:rsidRPr="00D6564C">
              <w:rPr>
                <w:rFonts w:asciiTheme="minorHAnsi" w:eastAsiaTheme="minorHAnsi" w:hAnsiTheme="minorHAnsi" w:cstheme="minorBidi"/>
                <w:noProof/>
                <w:color w:val="0000FF" w:themeColor="hyperlink"/>
                <w:sz w:val="22"/>
                <w:szCs w:val="22"/>
                <w:u w:val="single"/>
              </w:rPr>
              <w:t>2.2.3.</w:t>
            </w:r>
            <w:r w:rsidR="00AF0282" w:rsidRPr="00D6564C">
              <w:rPr>
                <w:rFonts w:asciiTheme="minorHAnsi" w:eastAsiaTheme="minorEastAsia" w:hAnsiTheme="minorHAnsi" w:cstheme="minorBidi"/>
                <w:noProof/>
                <w:sz w:val="22"/>
                <w:szCs w:val="22"/>
              </w:rPr>
              <w:tab/>
            </w:r>
            <w:r w:rsidR="00AF0282" w:rsidRPr="00D6564C">
              <w:rPr>
                <w:rFonts w:asciiTheme="minorHAnsi" w:eastAsiaTheme="minorHAnsi" w:hAnsiTheme="minorHAnsi" w:cstheme="minorBidi"/>
                <w:noProof/>
                <w:color w:val="0000FF" w:themeColor="hyperlink"/>
                <w:sz w:val="22"/>
                <w:szCs w:val="22"/>
                <w:u w:val="single"/>
              </w:rPr>
              <w:t>Assumptions</w:t>
            </w:r>
            <w:r w:rsidR="00AF0282" w:rsidRPr="00D6564C">
              <w:rPr>
                <w:rFonts w:asciiTheme="minorHAnsi" w:eastAsiaTheme="minorHAnsi" w:hAnsiTheme="minorHAnsi" w:cstheme="minorBidi"/>
                <w:noProof/>
                <w:webHidden/>
                <w:sz w:val="22"/>
                <w:szCs w:val="22"/>
              </w:rPr>
              <w:tab/>
            </w:r>
            <w:r w:rsidR="00AF0282" w:rsidRPr="00D6564C">
              <w:rPr>
                <w:rFonts w:asciiTheme="minorHAnsi" w:eastAsiaTheme="minorHAnsi" w:hAnsiTheme="minorHAnsi" w:cstheme="minorBidi"/>
                <w:noProof/>
                <w:webHidden/>
                <w:sz w:val="22"/>
                <w:szCs w:val="22"/>
              </w:rPr>
              <w:fldChar w:fldCharType="begin"/>
            </w:r>
            <w:r w:rsidR="00AF0282" w:rsidRPr="00D6564C">
              <w:rPr>
                <w:rFonts w:asciiTheme="minorHAnsi" w:eastAsiaTheme="minorHAnsi" w:hAnsiTheme="minorHAnsi" w:cstheme="minorBidi"/>
                <w:noProof/>
                <w:webHidden/>
                <w:sz w:val="22"/>
                <w:szCs w:val="22"/>
              </w:rPr>
              <w:instrText xml:space="preserve"> PAGEREF _Toc501375924 \h </w:instrText>
            </w:r>
            <w:r w:rsidR="00AF0282" w:rsidRPr="00D6564C">
              <w:rPr>
                <w:rFonts w:asciiTheme="minorHAnsi" w:eastAsiaTheme="minorHAnsi" w:hAnsiTheme="minorHAnsi" w:cstheme="minorBidi"/>
                <w:noProof/>
                <w:webHidden/>
                <w:sz w:val="22"/>
                <w:szCs w:val="22"/>
              </w:rPr>
            </w:r>
            <w:r w:rsidR="00AF0282" w:rsidRPr="00D6564C">
              <w:rPr>
                <w:rFonts w:asciiTheme="minorHAnsi" w:eastAsiaTheme="minorHAnsi" w:hAnsiTheme="minorHAnsi" w:cstheme="minorBidi"/>
                <w:noProof/>
                <w:webHidden/>
                <w:sz w:val="22"/>
                <w:szCs w:val="22"/>
              </w:rPr>
              <w:fldChar w:fldCharType="separate"/>
            </w:r>
            <w:r w:rsidR="00916BEF">
              <w:rPr>
                <w:rFonts w:asciiTheme="minorHAnsi" w:eastAsiaTheme="minorHAnsi" w:hAnsiTheme="minorHAnsi" w:cstheme="minorBidi"/>
                <w:noProof/>
                <w:webHidden/>
                <w:sz w:val="22"/>
                <w:szCs w:val="22"/>
              </w:rPr>
              <w:t>6</w:t>
            </w:r>
            <w:r w:rsidR="00AF0282" w:rsidRPr="00D6564C">
              <w:rPr>
                <w:rFonts w:asciiTheme="minorHAnsi" w:eastAsiaTheme="minorHAnsi" w:hAnsiTheme="minorHAnsi" w:cstheme="minorBidi"/>
                <w:noProof/>
                <w:webHidden/>
                <w:sz w:val="22"/>
                <w:szCs w:val="22"/>
              </w:rPr>
              <w:fldChar w:fldCharType="end"/>
            </w:r>
          </w:hyperlink>
        </w:p>
        <w:p w:rsidR="00AF0282" w:rsidRPr="00D6564C" w:rsidRDefault="001F4769" w:rsidP="00AF0282">
          <w:pPr>
            <w:tabs>
              <w:tab w:val="left" w:pos="440"/>
              <w:tab w:val="right" w:leader="dot" w:pos="9350"/>
            </w:tabs>
            <w:spacing w:after="100" w:line="276" w:lineRule="auto"/>
            <w:rPr>
              <w:rFonts w:asciiTheme="minorHAnsi" w:eastAsiaTheme="minorEastAsia" w:hAnsiTheme="minorHAnsi" w:cstheme="minorBidi"/>
              <w:noProof/>
              <w:sz w:val="22"/>
              <w:szCs w:val="22"/>
            </w:rPr>
          </w:pPr>
          <w:hyperlink w:anchor="_Toc501375925" w:history="1">
            <w:r w:rsidR="00AF0282" w:rsidRPr="00D6564C">
              <w:rPr>
                <w:rFonts w:asciiTheme="minorHAnsi" w:eastAsiaTheme="minorHAnsi" w:hAnsiTheme="minorHAnsi" w:cstheme="minorBidi"/>
                <w:noProof/>
                <w:color w:val="0000FF" w:themeColor="hyperlink"/>
                <w:sz w:val="22"/>
                <w:szCs w:val="22"/>
                <w:u w:val="single"/>
              </w:rPr>
              <w:t>3.</w:t>
            </w:r>
            <w:r w:rsidR="00AF0282" w:rsidRPr="00D6564C">
              <w:rPr>
                <w:rFonts w:asciiTheme="minorHAnsi" w:eastAsiaTheme="minorEastAsia" w:hAnsiTheme="minorHAnsi" w:cstheme="minorBidi"/>
                <w:noProof/>
                <w:sz w:val="22"/>
                <w:szCs w:val="22"/>
              </w:rPr>
              <w:tab/>
            </w:r>
            <w:r w:rsidR="00AF0282" w:rsidRPr="00D6564C">
              <w:rPr>
                <w:rFonts w:asciiTheme="minorHAnsi" w:eastAsiaTheme="minorHAnsi" w:hAnsiTheme="minorHAnsi" w:cstheme="minorBidi"/>
                <w:noProof/>
                <w:color w:val="0000FF" w:themeColor="hyperlink"/>
                <w:sz w:val="22"/>
                <w:szCs w:val="22"/>
                <w:u w:val="single"/>
              </w:rPr>
              <w:t>Study Results</w:t>
            </w:r>
            <w:r w:rsidR="00AF0282" w:rsidRPr="00D6564C">
              <w:rPr>
                <w:rFonts w:asciiTheme="minorHAnsi" w:eastAsiaTheme="minorHAnsi" w:hAnsiTheme="minorHAnsi" w:cstheme="minorBidi"/>
                <w:noProof/>
                <w:webHidden/>
                <w:sz w:val="22"/>
                <w:szCs w:val="22"/>
              </w:rPr>
              <w:tab/>
            </w:r>
            <w:r w:rsidR="00AF0282" w:rsidRPr="00D6564C">
              <w:rPr>
                <w:rFonts w:asciiTheme="minorHAnsi" w:eastAsiaTheme="minorHAnsi" w:hAnsiTheme="minorHAnsi" w:cstheme="minorBidi"/>
                <w:noProof/>
                <w:webHidden/>
                <w:sz w:val="22"/>
                <w:szCs w:val="22"/>
              </w:rPr>
              <w:fldChar w:fldCharType="begin"/>
            </w:r>
            <w:r w:rsidR="00AF0282" w:rsidRPr="00D6564C">
              <w:rPr>
                <w:rFonts w:asciiTheme="minorHAnsi" w:eastAsiaTheme="minorHAnsi" w:hAnsiTheme="minorHAnsi" w:cstheme="minorBidi"/>
                <w:noProof/>
                <w:webHidden/>
                <w:sz w:val="22"/>
                <w:szCs w:val="22"/>
              </w:rPr>
              <w:instrText xml:space="preserve"> PAGEREF _Toc501375925 \h </w:instrText>
            </w:r>
            <w:r w:rsidR="00AF0282" w:rsidRPr="00D6564C">
              <w:rPr>
                <w:rFonts w:asciiTheme="minorHAnsi" w:eastAsiaTheme="minorHAnsi" w:hAnsiTheme="minorHAnsi" w:cstheme="minorBidi"/>
                <w:noProof/>
                <w:webHidden/>
                <w:sz w:val="22"/>
                <w:szCs w:val="22"/>
              </w:rPr>
            </w:r>
            <w:r w:rsidR="00AF0282" w:rsidRPr="00D6564C">
              <w:rPr>
                <w:rFonts w:asciiTheme="minorHAnsi" w:eastAsiaTheme="minorHAnsi" w:hAnsiTheme="minorHAnsi" w:cstheme="minorBidi"/>
                <w:noProof/>
                <w:webHidden/>
                <w:sz w:val="22"/>
                <w:szCs w:val="22"/>
              </w:rPr>
              <w:fldChar w:fldCharType="separate"/>
            </w:r>
            <w:r w:rsidR="00916BEF">
              <w:rPr>
                <w:rFonts w:asciiTheme="minorHAnsi" w:eastAsiaTheme="minorHAnsi" w:hAnsiTheme="minorHAnsi" w:cstheme="minorBidi"/>
                <w:noProof/>
                <w:webHidden/>
                <w:sz w:val="22"/>
                <w:szCs w:val="22"/>
              </w:rPr>
              <w:t>6</w:t>
            </w:r>
            <w:r w:rsidR="00AF0282" w:rsidRPr="00D6564C">
              <w:rPr>
                <w:rFonts w:asciiTheme="minorHAnsi" w:eastAsiaTheme="minorHAnsi" w:hAnsiTheme="minorHAnsi" w:cstheme="minorBidi"/>
                <w:noProof/>
                <w:webHidden/>
                <w:sz w:val="22"/>
                <w:szCs w:val="22"/>
              </w:rPr>
              <w:fldChar w:fldCharType="end"/>
            </w:r>
          </w:hyperlink>
        </w:p>
        <w:p w:rsidR="00AF0282" w:rsidRPr="00D6564C" w:rsidRDefault="001F4769" w:rsidP="00AF0282">
          <w:pPr>
            <w:tabs>
              <w:tab w:val="left" w:pos="990"/>
              <w:tab w:val="right" w:leader="dot" w:pos="9350"/>
            </w:tabs>
            <w:spacing w:after="100" w:line="276" w:lineRule="auto"/>
            <w:ind w:left="220" w:firstLine="230"/>
            <w:rPr>
              <w:rFonts w:asciiTheme="minorHAnsi" w:eastAsiaTheme="minorEastAsia" w:hAnsiTheme="minorHAnsi" w:cstheme="minorBidi"/>
              <w:noProof/>
              <w:sz w:val="22"/>
              <w:szCs w:val="22"/>
            </w:rPr>
          </w:pPr>
          <w:hyperlink w:anchor="_Toc501375926" w:history="1">
            <w:r w:rsidR="00AF0282" w:rsidRPr="00D6564C">
              <w:rPr>
                <w:rFonts w:asciiTheme="minorHAnsi" w:eastAsiaTheme="minorHAnsi" w:hAnsiTheme="minorHAnsi" w:cstheme="minorBidi"/>
                <w:noProof/>
                <w:color w:val="0000FF" w:themeColor="hyperlink"/>
                <w:sz w:val="22"/>
                <w:szCs w:val="22"/>
                <w:u w:val="single"/>
              </w:rPr>
              <w:t>3.1.</w:t>
            </w:r>
            <w:r w:rsidR="00AF0282" w:rsidRPr="00D6564C">
              <w:rPr>
                <w:rFonts w:asciiTheme="minorHAnsi" w:eastAsiaTheme="minorEastAsia" w:hAnsiTheme="minorHAnsi" w:cstheme="minorBidi"/>
                <w:noProof/>
                <w:sz w:val="22"/>
                <w:szCs w:val="22"/>
              </w:rPr>
              <w:tab/>
            </w:r>
            <w:r w:rsidR="00AF0282" w:rsidRPr="00D6564C">
              <w:rPr>
                <w:rFonts w:asciiTheme="minorHAnsi" w:eastAsiaTheme="minorHAnsi" w:hAnsiTheme="minorHAnsi" w:cstheme="minorBidi"/>
                <w:noProof/>
                <w:color w:val="0000FF" w:themeColor="hyperlink"/>
                <w:sz w:val="22"/>
                <w:szCs w:val="22"/>
                <w:u w:val="single"/>
              </w:rPr>
              <w:t>Portfolio Results</w:t>
            </w:r>
            <w:r w:rsidR="00AF0282" w:rsidRPr="00D6564C">
              <w:rPr>
                <w:rFonts w:asciiTheme="minorHAnsi" w:eastAsiaTheme="minorHAnsi" w:hAnsiTheme="minorHAnsi" w:cstheme="minorBidi"/>
                <w:noProof/>
                <w:webHidden/>
                <w:sz w:val="22"/>
                <w:szCs w:val="22"/>
              </w:rPr>
              <w:tab/>
            </w:r>
            <w:r w:rsidR="00AF0282" w:rsidRPr="00D6564C">
              <w:rPr>
                <w:rFonts w:asciiTheme="minorHAnsi" w:eastAsiaTheme="minorHAnsi" w:hAnsiTheme="minorHAnsi" w:cstheme="minorBidi"/>
                <w:noProof/>
                <w:webHidden/>
                <w:sz w:val="22"/>
                <w:szCs w:val="22"/>
              </w:rPr>
              <w:fldChar w:fldCharType="begin"/>
            </w:r>
            <w:r w:rsidR="00AF0282" w:rsidRPr="00D6564C">
              <w:rPr>
                <w:rFonts w:asciiTheme="minorHAnsi" w:eastAsiaTheme="minorHAnsi" w:hAnsiTheme="minorHAnsi" w:cstheme="minorBidi"/>
                <w:noProof/>
                <w:webHidden/>
                <w:sz w:val="22"/>
                <w:szCs w:val="22"/>
              </w:rPr>
              <w:instrText xml:space="preserve"> PAGEREF _Toc501375926 \h </w:instrText>
            </w:r>
            <w:r w:rsidR="00AF0282" w:rsidRPr="00D6564C">
              <w:rPr>
                <w:rFonts w:asciiTheme="minorHAnsi" w:eastAsiaTheme="minorHAnsi" w:hAnsiTheme="minorHAnsi" w:cstheme="minorBidi"/>
                <w:noProof/>
                <w:webHidden/>
                <w:sz w:val="22"/>
                <w:szCs w:val="22"/>
              </w:rPr>
            </w:r>
            <w:r w:rsidR="00AF0282" w:rsidRPr="00D6564C">
              <w:rPr>
                <w:rFonts w:asciiTheme="minorHAnsi" w:eastAsiaTheme="minorHAnsi" w:hAnsiTheme="minorHAnsi" w:cstheme="minorBidi"/>
                <w:noProof/>
                <w:webHidden/>
                <w:sz w:val="22"/>
                <w:szCs w:val="22"/>
              </w:rPr>
              <w:fldChar w:fldCharType="separate"/>
            </w:r>
            <w:r w:rsidR="00916BEF">
              <w:rPr>
                <w:rFonts w:asciiTheme="minorHAnsi" w:eastAsiaTheme="minorHAnsi" w:hAnsiTheme="minorHAnsi" w:cstheme="minorBidi"/>
                <w:noProof/>
                <w:webHidden/>
                <w:sz w:val="22"/>
                <w:szCs w:val="22"/>
              </w:rPr>
              <w:t>6</w:t>
            </w:r>
            <w:r w:rsidR="00AF0282" w:rsidRPr="00D6564C">
              <w:rPr>
                <w:rFonts w:asciiTheme="minorHAnsi" w:eastAsiaTheme="minorHAnsi" w:hAnsiTheme="minorHAnsi" w:cstheme="minorBidi"/>
                <w:noProof/>
                <w:webHidden/>
                <w:sz w:val="22"/>
                <w:szCs w:val="22"/>
              </w:rPr>
              <w:fldChar w:fldCharType="end"/>
            </w:r>
          </w:hyperlink>
        </w:p>
        <w:p w:rsidR="00AF0282" w:rsidRPr="00D6564C" w:rsidRDefault="00E2641A" w:rsidP="00AF0282">
          <w:pPr>
            <w:tabs>
              <w:tab w:val="left" w:pos="990"/>
              <w:tab w:val="right" w:leader="dot" w:pos="9350"/>
            </w:tabs>
            <w:spacing w:after="100" w:line="276" w:lineRule="auto"/>
            <w:ind w:left="220" w:firstLine="230"/>
            <w:rPr>
              <w:rFonts w:asciiTheme="minorHAnsi" w:eastAsiaTheme="minorEastAsia" w:hAnsiTheme="minorHAnsi" w:cstheme="minorBidi"/>
              <w:noProof/>
              <w:sz w:val="22"/>
              <w:szCs w:val="22"/>
            </w:rPr>
          </w:pPr>
          <w:hyperlink w:anchor="_Toc501375927" w:history="1">
            <w:r w:rsidR="00AF0282" w:rsidRPr="00D6564C">
              <w:rPr>
                <w:rFonts w:asciiTheme="minorHAnsi" w:eastAsiaTheme="minorHAnsi" w:hAnsiTheme="minorHAnsi" w:cstheme="minorBidi"/>
                <w:noProof/>
                <w:color w:val="0000FF" w:themeColor="hyperlink"/>
                <w:sz w:val="22"/>
                <w:szCs w:val="22"/>
                <w:u w:val="single"/>
              </w:rPr>
              <w:t>3.2.</w:t>
            </w:r>
            <w:r w:rsidR="00AF0282" w:rsidRPr="00D6564C">
              <w:rPr>
                <w:rFonts w:asciiTheme="minorHAnsi" w:eastAsiaTheme="minorEastAsia" w:hAnsiTheme="minorHAnsi" w:cstheme="minorBidi"/>
                <w:noProof/>
                <w:sz w:val="22"/>
                <w:szCs w:val="22"/>
              </w:rPr>
              <w:tab/>
            </w:r>
            <w:r w:rsidR="00AF0282" w:rsidRPr="00D6564C">
              <w:rPr>
                <w:rFonts w:asciiTheme="minorHAnsi" w:eastAsiaTheme="minorHAnsi" w:hAnsiTheme="minorHAnsi" w:cstheme="minorBidi"/>
                <w:noProof/>
                <w:color w:val="0000FF" w:themeColor="hyperlink"/>
                <w:sz w:val="22"/>
                <w:szCs w:val="22"/>
                <w:u w:val="single"/>
              </w:rPr>
              <w:t>Preferred Portfolio</w:t>
            </w:r>
            <w:r w:rsidR="00AF0282" w:rsidRPr="00D6564C">
              <w:rPr>
                <w:rFonts w:asciiTheme="minorHAnsi" w:eastAsiaTheme="minorHAnsi" w:hAnsiTheme="minorHAnsi" w:cstheme="minorBidi"/>
                <w:noProof/>
                <w:webHidden/>
                <w:sz w:val="22"/>
                <w:szCs w:val="22"/>
              </w:rPr>
              <w:tab/>
            </w:r>
            <w:r w:rsidR="00AF0282" w:rsidRPr="00D6564C">
              <w:rPr>
                <w:rFonts w:asciiTheme="minorHAnsi" w:eastAsiaTheme="minorHAnsi" w:hAnsiTheme="minorHAnsi" w:cstheme="minorBidi"/>
                <w:noProof/>
                <w:webHidden/>
                <w:sz w:val="22"/>
                <w:szCs w:val="22"/>
              </w:rPr>
              <w:fldChar w:fldCharType="begin"/>
            </w:r>
            <w:r w:rsidR="00AF0282" w:rsidRPr="00D6564C">
              <w:rPr>
                <w:rFonts w:asciiTheme="minorHAnsi" w:eastAsiaTheme="minorHAnsi" w:hAnsiTheme="minorHAnsi" w:cstheme="minorBidi"/>
                <w:noProof/>
                <w:webHidden/>
                <w:sz w:val="22"/>
                <w:szCs w:val="22"/>
              </w:rPr>
              <w:instrText xml:space="preserve"> PAGEREF _Toc501375927 \h </w:instrText>
            </w:r>
            <w:r w:rsidR="00AF0282" w:rsidRPr="00D6564C">
              <w:rPr>
                <w:rFonts w:asciiTheme="minorHAnsi" w:eastAsiaTheme="minorHAnsi" w:hAnsiTheme="minorHAnsi" w:cstheme="minorBidi"/>
                <w:noProof/>
                <w:webHidden/>
                <w:sz w:val="22"/>
                <w:szCs w:val="22"/>
              </w:rPr>
            </w:r>
            <w:r w:rsidR="00AF0282" w:rsidRPr="00D6564C">
              <w:rPr>
                <w:rFonts w:asciiTheme="minorHAnsi" w:eastAsiaTheme="minorHAnsi" w:hAnsiTheme="minorHAnsi" w:cstheme="minorBidi"/>
                <w:noProof/>
                <w:webHidden/>
                <w:sz w:val="22"/>
                <w:szCs w:val="22"/>
              </w:rPr>
              <w:fldChar w:fldCharType="separate"/>
            </w:r>
            <w:r w:rsidR="00916BEF">
              <w:rPr>
                <w:rFonts w:asciiTheme="minorHAnsi" w:eastAsiaTheme="minorHAnsi" w:hAnsiTheme="minorHAnsi" w:cstheme="minorBidi"/>
                <w:noProof/>
                <w:webHidden/>
                <w:sz w:val="22"/>
                <w:szCs w:val="22"/>
              </w:rPr>
              <w:t>7</w:t>
            </w:r>
            <w:r w:rsidR="00AF0282" w:rsidRPr="00D6564C">
              <w:rPr>
                <w:rFonts w:asciiTheme="minorHAnsi" w:eastAsiaTheme="minorHAnsi" w:hAnsiTheme="minorHAnsi" w:cstheme="minorBidi"/>
                <w:noProof/>
                <w:webHidden/>
                <w:sz w:val="22"/>
                <w:szCs w:val="22"/>
              </w:rPr>
              <w:fldChar w:fldCharType="end"/>
            </w:r>
          </w:hyperlink>
        </w:p>
        <w:p w:rsidR="00AF0282" w:rsidRPr="00D6564C" w:rsidRDefault="00E2641A" w:rsidP="00AF0282">
          <w:pPr>
            <w:tabs>
              <w:tab w:val="left" w:pos="1710"/>
              <w:tab w:val="right" w:leader="dot" w:pos="9350"/>
            </w:tabs>
            <w:spacing w:after="100" w:line="276" w:lineRule="auto"/>
            <w:ind w:left="440" w:firstLine="550"/>
            <w:rPr>
              <w:rFonts w:asciiTheme="minorHAnsi" w:eastAsiaTheme="minorEastAsia" w:hAnsiTheme="minorHAnsi" w:cstheme="minorBidi"/>
              <w:noProof/>
              <w:sz w:val="22"/>
              <w:szCs w:val="22"/>
            </w:rPr>
          </w:pPr>
          <w:hyperlink w:anchor="_Toc501375928" w:history="1">
            <w:r w:rsidR="00AF0282" w:rsidRPr="00D6564C">
              <w:rPr>
                <w:rFonts w:asciiTheme="minorHAnsi" w:eastAsiaTheme="minorHAnsi" w:hAnsiTheme="minorHAnsi" w:cstheme="minorBidi"/>
                <w:noProof/>
                <w:color w:val="0000FF" w:themeColor="hyperlink"/>
                <w:sz w:val="22"/>
                <w:szCs w:val="22"/>
                <w:u w:val="single"/>
              </w:rPr>
              <w:t>3.2.1.</w:t>
            </w:r>
            <w:r w:rsidR="00AF0282" w:rsidRPr="00D6564C">
              <w:rPr>
                <w:rFonts w:asciiTheme="minorHAnsi" w:eastAsiaTheme="minorEastAsia" w:hAnsiTheme="minorHAnsi" w:cstheme="minorBidi"/>
                <w:noProof/>
                <w:sz w:val="22"/>
                <w:szCs w:val="22"/>
              </w:rPr>
              <w:tab/>
            </w:r>
            <w:r w:rsidR="00AF0282" w:rsidRPr="00D6564C">
              <w:rPr>
                <w:rFonts w:asciiTheme="minorHAnsi" w:eastAsiaTheme="minorHAnsi" w:hAnsiTheme="minorHAnsi" w:cstheme="minorBidi"/>
                <w:noProof/>
                <w:color w:val="0000FF" w:themeColor="hyperlink"/>
                <w:sz w:val="22"/>
                <w:szCs w:val="22"/>
                <w:u w:val="single"/>
              </w:rPr>
              <w:t>Local Air Pollutant Minimization</w:t>
            </w:r>
            <w:r w:rsidR="00AF0282" w:rsidRPr="00D6564C">
              <w:rPr>
                <w:rFonts w:asciiTheme="minorHAnsi" w:eastAsiaTheme="minorHAnsi" w:hAnsiTheme="minorHAnsi" w:cstheme="minorBidi"/>
                <w:noProof/>
                <w:webHidden/>
                <w:sz w:val="22"/>
                <w:szCs w:val="22"/>
              </w:rPr>
              <w:tab/>
            </w:r>
            <w:r w:rsidR="00AF0282" w:rsidRPr="00D6564C">
              <w:rPr>
                <w:rFonts w:asciiTheme="minorHAnsi" w:eastAsiaTheme="minorHAnsi" w:hAnsiTheme="minorHAnsi" w:cstheme="minorBidi"/>
                <w:noProof/>
                <w:webHidden/>
                <w:sz w:val="22"/>
                <w:szCs w:val="22"/>
              </w:rPr>
              <w:fldChar w:fldCharType="begin"/>
            </w:r>
            <w:r w:rsidR="00AF0282" w:rsidRPr="00D6564C">
              <w:rPr>
                <w:rFonts w:asciiTheme="minorHAnsi" w:eastAsiaTheme="minorHAnsi" w:hAnsiTheme="minorHAnsi" w:cstheme="minorBidi"/>
                <w:noProof/>
                <w:webHidden/>
                <w:sz w:val="22"/>
                <w:szCs w:val="22"/>
              </w:rPr>
              <w:instrText xml:space="preserve"> PAGEREF _Toc501375928 \h </w:instrText>
            </w:r>
            <w:r w:rsidR="00AF0282" w:rsidRPr="00D6564C">
              <w:rPr>
                <w:rFonts w:asciiTheme="minorHAnsi" w:eastAsiaTheme="minorHAnsi" w:hAnsiTheme="minorHAnsi" w:cstheme="minorBidi"/>
                <w:noProof/>
                <w:webHidden/>
                <w:sz w:val="22"/>
                <w:szCs w:val="22"/>
              </w:rPr>
            </w:r>
            <w:r w:rsidR="00AF0282" w:rsidRPr="00D6564C">
              <w:rPr>
                <w:rFonts w:asciiTheme="minorHAnsi" w:eastAsiaTheme="minorHAnsi" w:hAnsiTheme="minorHAnsi" w:cstheme="minorBidi"/>
                <w:noProof/>
                <w:webHidden/>
                <w:sz w:val="22"/>
                <w:szCs w:val="22"/>
              </w:rPr>
              <w:fldChar w:fldCharType="separate"/>
            </w:r>
            <w:r w:rsidR="00916BEF">
              <w:rPr>
                <w:rFonts w:asciiTheme="minorHAnsi" w:eastAsiaTheme="minorHAnsi" w:hAnsiTheme="minorHAnsi" w:cstheme="minorBidi"/>
                <w:noProof/>
                <w:webHidden/>
                <w:sz w:val="22"/>
                <w:szCs w:val="22"/>
              </w:rPr>
              <w:t>7</w:t>
            </w:r>
            <w:r w:rsidR="00AF0282" w:rsidRPr="00D6564C">
              <w:rPr>
                <w:rFonts w:asciiTheme="minorHAnsi" w:eastAsiaTheme="minorHAnsi" w:hAnsiTheme="minorHAnsi" w:cstheme="minorBidi"/>
                <w:noProof/>
                <w:webHidden/>
                <w:sz w:val="22"/>
                <w:szCs w:val="22"/>
              </w:rPr>
              <w:fldChar w:fldCharType="end"/>
            </w:r>
          </w:hyperlink>
        </w:p>
        <w:p w:rsidR="00AF0282" w:rsidRPr="00D6564C" w:rsidRDefault="00E2641A" w:rsidP="00AF0282">
          <w:pPr>
            <w:tabs>
              <w:tab w:val="left" w:pos="1710"/>
              <w:tab w:val="right" w:leader="dot" w:pos="9350"/>
            </w:tabs>
            <w:spacing w:after="100" w:line="276" w:lineRule="auto"/>
            <w:ind w:left="440" w:firstLine="550"/>
            <w:rPr>
              <w:rFonts w:asciiTheme="minorHAnsi" w:eastAsiaTheme="minorEastAsia" w:hAnsiTheme="minorHAnsi" w:cstheme="minorBidi"/>
              <w:noProof/>
              <w:sz w:val="22"/>
              <w:szCs w:val="22"/>
            </w:rPr>
          </w:pPr>
          <w:hyperlink w:anchor="_Toc501375929" w:history="1">
            <w:r w:rsidR="00AF0282" w:rsidRPr="00D6564C">
              <w:rPr>
                <w:rFonts w:asciiTheme="minorHAnsi" w:eastAsiaTheme="minorHAnsi" w:hAnsiTheme="minorHAnsi" w:cstheme="minorBidi"/>
                <w:noProof/>
                <w:color w:val="0000FF" w:themeColor="hyperlink"/>
                <w:sz w:val="22"/>
                <w:szCs w:val="22"/>
                <w:u w:val="single"/>
              </w:rPr>
              <w:t>3.2.2.</w:t>
            </w:r>
            <w:r w:rsidR="00AF0282" w:rsidRPr="00D6564C">
              <w:rPr>
                <w:rFonts w:asciiTheme="minorHAnsi" w:eastAsiaTheme="minorEastAsia" w:hAnsiTheme="minorHAnsi" w:cstheme="minorBidi"/>
                <w:noProof/>
                <w:sz w:val="22"/>
                <w:szCs w:val="22"/>
              </w:rPr>
              <w:tab/>
            </w:r>
            <w:r w:rsidR="00AF0282" w:rsidRPr="00D6564C">
              <w:rPr>
                <w:rFonts w:asciiTheme="minorHAnsi" w:eastAsiaTheme="minorHAnsi" w:hAnsiTheme="minorHAnsi" w:cstheme="minorBidi"/>
                <w:noProof/>
                <w:color w:val="0000FF" w:themeColor="hyperlink"/>
                <w:sz w:val="22"/>
                <w:szCs w:val="22"/>
                <w:u w:val="single"/>
              </w:rPr>
              <w:t>Cost and Rate Analysis</w:t>
            </w:r>
            <w:r w:rsidR="00AF0282" w:rsidRPr="00D6564C">
              <w:rPr>
                <w:rFonts w:asciiTheme="minorHAnsi" w:eastAsiaTheme="minorHAnsi" w:hAnsiTheme="minorHAnsi" w:cstheme="minorBidi"/>
                <w:noProof/>
                <w:webHidden/>
                <w:sz w:val="22"/>
                <w:szCs w:val="22"/>
              </w:rPr>
              <w:tab/>
            </w:r>
            <w:r w:rsidR="00AF0282" w:rsidRPr="00D6564C">
              <w:rPr>
                <w:rFonts w:asciiTheme="minorHAnsi" w:eastAsiaTheme="minorHAnsi" w:hAnsiTheme="minorHAnsi" w:cstheme="minorBidi"/>
                <w:noProof/>
                <w:webHidden/>
                <w:sz w:val="22"/>
                <w:szCs w:val="22"/>
              </w:rPr>
              <w:fldChar w:fldCharType="begin"/>
            </w:r>
            <w:r w:rsidR="00AF0282" w:rsidRPr="00D6564C">
              <w:rPr>
                <w:rFonts w:asciiTheme="minorHAnsi" w:eastAsiaTheme="minorHAnsi" w:hAnsiTheme="minorHAnsi" w:cstheme="minorBidi"/>
                <w:noProof/>
                <w:webHidden/>
                <w:sz w:val="22"/>
                <w:szCs w:val="22"/>
              </w:rPr>
              <w:instrText xml:space="preserve"> PAGEREF _Toc501375929 \h </w:instrText>
            </w:r>
            <w:r w:rsidR="00AF0282" w:rsidRPr="00D6564C">
              <w:rPr>
                <w:rFonts w:asciiTheme="minorHAnsi" w:eastAsiaTheme="minorHAnsi" w:hAnsiTheme="minorHAnsi" w:cstheme="minorBidi"/>
                <w:noProof/>
                <w:webHidden/>
                <w:sz w:val="22"/>
                <w:szCs w:val="22"/>
              </w:rPr>
            </w:r>
            <w:r w:rsidR="00AF0282" w:rsidRPr="00D6564C">
              <w:rPr>
                <w:rFonts w:asciiTheme="minorHAnsi" w:eastAsiaTheme="minorHAnsi" w:hAnsiTheme="minorHAnsi" w:cstheme="minorBidi"/>
                <w:noProof/>
                <w:webHidden/>
                <w:sz w:val="22"/>
                <w:szCs w:val="22"/>
              </w:rPr>
              <w:fldChar w:fldCharType="separate"/>
            </w:r>
            <w:r w:rsidR="00916BEF">
              <w:rPr>
                <w:rFonts w:asciiTheme="minorHAnsi" w:eastAsiaTheme="minorHAnsi" w:hAnsiTheme="minorHAnsi" w:cstheme="minorBidi"/>
                <w:noProof/>
                <w:webHidden/>
                <w:sz w:val="22"/>
                <w:szCs w:val="22"/>
              </w:rPr>
              <w:t>8</w:t>
            </w:r>
            <w:r w:rsidR="00AF0282" w:rsidRPr="00D6564C">
              <w:rPr>
                <w:rFonts w:asciiTheme="minorHAnsi" w:eastAsiaTheme="minorHAnsi" w:hAnsiTheme="minorHAnsi" w:cstheme="minorBidi"/>
                <w:noProof/>
                <w:webHidden/>
                <w:sz w:val="22"/>
                <w:szCs w:val="22"/>
              </w:rPr>
              <w:fldChar w:fldCharType="end"/>
            </w:r>
          </w:hyperlink>
        </w:p>
        <w:p w:rsidR="00AF0282" w:rsidRPr="00D6564C" w:rsidRDefault="00E2641A" w:rsidP="00AF0282">
          <w:pPr>
            <w:tabs>
              <w:tab w:val="left" w:pos="990"/>
              <w:tab w:val="right" w:leader="dot" w:pos="9350"/>
            </w:tabs>
            <w:spacing w:after="100" w:line="276" w:lineRule="auto"/>
            <w:ind w:left="220" w:firstLine="230"/>
            <w:rPr>
              <w:rFonts w:asciiTheme="minorHAnsi" w:eastAsiaTheme="minorEastAsia" w:hAnsiTheme="minorHAnsi" w:cstheme="minorBidi"/>
              <w:noProof/>
              <w:sz w:val="22"/>
              <w:szCs w:val="22"/>
            </w:rPr>
          </w:pPr>
          <w:hyperlink w:anchor="_Toc501375930" w:history="1">
            <w:r w:rsidR="00AF0282" w:rsidRPr="00D6564C">
              <w:rPr>
                <w:rFonts w:asciiTheme="minorHAnsi" w:eastAsiaTheme="minorHAnsi" w:hAnsiTheme="minorHAnsi" w:cstheme="minorBidi"/>
                <w:noProof/>
                <w:color w:val="0000FF" w:themeColor="hyperlink"/>
                <w:sz w:val="22"/>
                <w:szCs w:val="22"/>
                <w:u w:val="single"/>
              </w:rPr>
              <w:t>3.3.</w:t>
            </w:r>
            <w:r w:rsidR="00AF0282" w:rsidRPr="00D6564C">
              <w:rPr>
                <w:rFonts w:asciiTheme="minorHAnsi" w:eastAsiaTheme="minorEastAsia" w:hAnsiTheme="minorHAnsi" w:cstheme="minorBidi"/>
                <w:noProof/>
                <w:sz w:val="22"/>
                <w:szCs w:val="22"/>
              </w:rPr>
              <w:tab/>
            </w:r>
            <w:r w:rsidR="00AF0282" w:rsidRPr="00D6564C">
              <w:rPr>
                <w:rFonts w:asciiTheme="minorHAnsi" w:eastAsiaTheme="minorHAnsi" w:hAnsiTheme="minorHAnsi" w:cstheme="minorBidi"/>
                <w:noProof/>
                <w:color w:val="0000FF" w:themeColor="hyperlink"/>
                <w:sz w:val="22"/>
                <w:szCs w:val="22"/>
                <w:u w:val="single"/>
              </w:rPr>
              <w:t>Deviations from Current Resource Plans</w:t>
            </w:r>
            <w:r w:rsidR="00AF0282" w:rsidRPr="00D6564C">
              <w:rPr>
                <w:rFonts w:asciiTheme="minorHAnsi" w:eastAsiaTheme="minorHAnsi" w:hAnsiTheme="minorHAnsi" w:cstheme="minorBidi"/>
                <w:noProof/>
                <w:webHidden/>
                <w:sz w:val="22"/>
                <w:szCs w:val="22"/>
              </w:rPr>
              <w:tab/>
            </w:r>
            <w:r w:rsidR="00AF0282" w:rsidRPr="00D6564C">
              <w:rPr>
                <w:rFonts w:asciiTheme="minorHAnsi" w:eastAsiaTheme="minorHAnsi" w:hAnsiTheme="minorHAnsi" w:cstheme="minorBidi"/>
                <w:noProof/>
                <w:webHidden/>
                <w:sz w:val="22"/>
                <w:szCs w:val="22"/>
              </w:rPr>
              <w:fldChar w:fldCharType="begin"/>
            </w:r>
            <w:r w:rsidR="00AF0282" w:rsidRPr="00D6564C">
              <w:rPr>
                <w:rFonts w:asciiTheme="minorHAnsi" w:eastAsiaTheme="minorHAnsi" w:hAnsiTheme="minorHAnsi" w:cstheme="minorBidi"/>
                <w:noProof/>
                <w:webHidden/>
                <w:sz w:val="22"/>
                <w:szCs w:val="22"/>
              </w:rPr>
              <w:instrText xml:space="preserve"> PAGEREF _Toc501375930 \h </w:instrText>
            </w:r>
            <w:r w:rsidR="00AF0282" w:rsidRPr="00D6564C">
              <w:rPr>
                <w:rFonts w:asciiTheme="minorHAnsi" w:eastAsiaTheme="minorHAnsi" w:hAnsiTheme="minorHAnsi" w:cstheme="minorBidi"/>
                <w:noProof/>
                <w:webHidden/>
                <w:sz w:val="22"/>
                <w:szCs w:val="22"/>
              </w:rPr>
            </w:r>
            <w:r w:rsidR="00AF0282" w:rsidRPr="00D6564C">
              <w:rPr>
                <w:rFonts w:asciiTheme="minorHAnsi" w:eastAsiaTheme="minorHAnsi" w:hAnsiTheme="minorHAnsi" w:cstheme="minorBidi"/>
                <w:noProof/>
                <w:webHidden/>
                <w:sz w:val="22"/>
                <w:szCs w:val="22"/>
              </w:rPr>
              <w:fldChar w:fldCharType="separate"/>
            </w:r>
            <w:r w:rsidR="00916BEF">
              <w:rPr>
                <w:rFonts w:asciiTheme="minorHAnsi" w:eastAsiaTheme="minorHAnsi" w:hAnsiTheme="minorHAnsi" w:cstheme="minorBidi"/>
                <w:noProof/>
                <w:webHidden/>
                <w:sz w:val="22"/>
                <w:szCs w:val="22"/>
              </w:rPr>
              <w:t>9</w:t>
            </w:r>
            <w:r w:rsidR="00AF0282" w:rsidRPr="00D6564C">
              <w:rPr>
                <w:rFonts w:asciiTheme="minorHAnsi" w:eastAsiaTheme="minorHAnsi" w:hAnsiTheme="minorHAnsi" w:cstheme="minorBidi"/>
                <w:noProof/>
                <w:webHidden/>
                <w:sz w:val="22"/>
                <w:szCs w:val="22"/>
              </w:rPr>
              <w:fldChar w:fldCharType="end"/>
            </w:r>
          </w:hyperlink>
        </w:p>
        <w:p w:rsidR="00AF0282" w:rsidRPr="00D6564C" w:rsidRDefault="00E2641A" w:rsidP="00AF0282">
          <w:pPr>
            <w:tabs>
              <w:tab w:val="left" w:pos="990"/>
              <w:tab w:val="right" w:leader="dot" w:pos="9350"/>
            </w:tabs>
            <w:spacing w:after="100" w:line="276" w:lineRule="auto"/>
            <w:ind w:left="220" w:firstLine="230"/>
            <w:rPr>
              <w:rFonts w:asciiTheme="minorHAnsi" w:eastAsiaTheme="minorEastAsia" w:hAnsiTheme="minorHAnsi" w:cstheme="minorBidi"/>
              <w:noProof/>
              <w:sz w:val="22"/>
              <w:szCs w:val="22"/>
            </w:rPr>
          </w:pPr>
          <w:hyperlink w:anchor="_Toc501375931" w:history="1">
            <w:r w:rsidR="00AF0282" w:rsidRPr="00D6564C">
              <w:rPr>
                <w:rFonts w:asciiTheme="minorHAnsi" w:eastAsiaTheme="minorHAnsi" w:hAnsiTheme="minorHAnsi" w:cstheme="minorBidi"/>
                <w:noProof/>
                <w:color w:val="0000FF" w:themeColor="hyperlink"/>
                <w:sz w:val="22"/>
                <w:szCs w:val="22"/>
                <w:u w:val="single"/>
              </w:rPr>
              <w:t>3.4.</w:t>
            </w:r>
            <w:r w:rsidR="00AF0282" w:rsidRPr="00D6564C">
              <w:rPr>
                <w:rFonts w:asciiTheme="minorHAnsi" w:eastAsiaTheme="minorEastAsia" w:hAnsiTheme="minorHAnsi" w:cstheme="minorBidi"/>
                <w:noProof/>
                <w:sz w:val="22"/>
                <w:szCs w:val="22"/>
              </w:rPr>
              <w:tab/>
            </w:r>
            <w:r w:rsidR="00AF0282" w:rsidRPr="00D6564C">
              <w:rPr>
                <w:rFonts w:asciiTheme="minorHAnsi" w:eastAsiaTheme="minorHAnsi" w:hAnsiTheme="minorHAnsi" w:cstheme="minorBidi"/>
                <w:noProof/>
                <w:color w:val="0000FF" w:themeColor="hyperlink"/>
                <w:sz w:val="22"/>
                <w:szCs w:val="22"/>
                <w:u w:val="single"/>
              </w:rPr>
              <w:t>Local Needs Analysis</w:t>
            </w:r>
            <w:r w:rsidR="00AF0282" w:rsidRPr="00D6564C">
              <w:rPr>
                <w:rFonts w:asciiTheme="minorHAnsi" w:eastAsiaTheme="minorHAnsi" w:hAnsiTheme="minorHAnsi" w:cstheme="minorBidi"/>
                <w:noProof/>
                <w:webHidden/>
                <w:sz w:val="22"/>
                <w:szCs w:val="22"/>
              </w:rPr>
              <w:tab/>
            </w:r>
            <w:r w:rsidR="00AF0282" w:rsidRPr="00D6564C">
              <w:rPr>
                <w:rFonts w:asciiTheme="minorHAnsi" w:eastAsiaTheme="minorHAnsi" w:hAnsiTheme="minorHAnsi" w:cstheme="minorBidi"/>
                <w:noProof/>
                <w:webHidden/>
                <w:sz w:val="22"/>
                <w:szCs w:val="22"/>
              </w:rPr>
              <w:fldChar w:fldCharType="begin"/>
            </w:r>
            <w:r w:rsidR="00AF0282" w:rsidRPr="00D6564C">
              <w:rPr>
                <w:rFonts w:asciiTheme="minorHAnsi" w:eastAsiaTheme="minorHAnsi" w:hAnsiTheme="minorHAnsi" w:cstheme="minorBidi"/>
                <w:noProof/>
                <w:webHidden/>
                <w:sz w:val="22"/>
                <w:szCs w:val="22"/>
              </w:rPr>
              <w:instrText xml:space="preserve"> PAGEREF _Toc501375931 \h </w:instrText>
            </w:r>
            <w:r w:rsidR="00AF0282" w:rsidRPr="00D6564C">
              <w:rPr>
                <w:rFonts w:asciiTheme="minorHAnsi" w:eastAsiaTheme="minorHAnsi" w:hAnsiTheme="minorHAnsi" w:cstheme="minorBidi"/>
                <w:noProof/>
                <w:webHidden/>
                <w:sz w:val="22"/>
                <w:szCs w:val="22"/>
              </w:rPr>
            </w:r>
            <w:r w:rsidR="00AF0282" w:rsidRPr="00D6564C">
              <w:rPr>
                <w:rFonts w:asciiTheme="minorHAnsi" w:eastAsiaTheme="minorHAnsi" w:hAnsiTheme="minorHAnsi" w:cstheme="minorBidi"/>
                <w:noProof/>
                <w:webHidden/>
                <w:sz w:val="22"/>
                <w:szCs w:val="22"/>
              </w:rPr>
              <w:fldChar w:fldCharType="separate"/>
            </w:r>
            <w:r w:rsidR="00916BEF">
              <w:rPr>
                <w:rFonts w:asciiTheme="minorHAnsi" w:eastAsiaTheme="minorHAnsi" w:hAnsiTheme="minorHAnsi" w:cstheme="minorBidi"/>
                <w:noProof/>
                <w:webHidden/>
                <w:sz w:val="22"/>
                <w:szCs w:val="22"/>
              </w:rPr>
              <w:t>10</w:t>
            </w:r>
            <w:r w:rsidR="00AF0282" w:rsidRPr="00D6564C">
              <w:rPr>
                <w:rFonts w:asciiTheme="minorHAnsi" w:eastAsiaTheme="minorHAnsi" w:hAnsiTheme="minorHAnsi" w:cstheme="minorBidi"/>
                <w:noProof/>
                <w:webHidden/>
                <w:sz w:val="22"/>
                <w:szCs w:val="22"/>
              </w:rPr>
              <w:fldChar w:fldCharType="end"/>
            </w:r>
          </w:hyperlink>
        </w:p>
        <w:p w:rsidR="00AF0282" w:rsidRPr="00D6564C" w:rsidRDefault="00E2641A" w:rsidP="00AF0282">
          <w:pPr>
            <w:tabs>
              <w:tab w:val="left" w:pos="440"/>
              <w:tab w:val="right" w:leader="dot" w:pos="9350"/>
            </w:tabs>
            <w:spacing w:after="100" w:line="276" w:lineRule="auto"/>
            <w:rPr>
              <w:rFonts w:asciiTheme="minorHAnsi" w:eastAsiaTheme="minorEastAsia" w:hAnsiTheme="minorHAnsi" w:cstheme="minorBidi"/>
              <w:noProof/>
              <w:sz w:val="22"/>
              <w:szCs w:val="22"/>
            </w:rPr>
          </w:pPr>
          <w:hyperlink w:anchor="_Toc501375932" w:history="1">
            <w:r w:rsidR="00AF0282" w:rsidRPr="00D6564C">
              <w:rPr>
                <w:rFonts w:asciiTheme="minorHAnsi" w:eastAsiaTheme="minorHAnsi" w:hAnsiTheme="minorHAnsi" w:cstheme="minorBidi"/>
                <w:noProof/>
                <w:color w:val="0000FF" w:themeColor="hyperlink"/>
                <w:sz w:val="22"/>
                <w:szCs w:val="22"/>
                <w:u w:val="single"/>
              </w:rPr>
              <w:t>4.</w:t>
            </w:r>
            <w:r w:rsidR="00AF0282" w:rsidRPr="00D6564C">
              <w:rPr>
                <w:rFonts w:asciiTheme="minorHAnsi" w:eastAsiaTheme="minorEastAsia" w:hAnsiTheme="minorHAnsi" w:cstheme="minorBidi"/>
                <w:noProof/>
                <w:sz w:val="22"/>
                <w:szCs w:val="22"/>
              </w:rPr>
              <w:tab/>
            </w:r>
            <w:r w:rsidR="00AF0282" w:rsidRPr="00D6564C">
              <w:rPr>
                <w:rFonts w:asciiTheme="minorHAnsi" w:eastAsiaTheme="minorHAnsi" w:hAnsiTheme="minorHAnsi" w:cstheme="minorBidi"/>
                <w:noProof/>
                <w:color w:val="0000FF" w:themeColor="hyperlink"/>
                <w:sz w:val="22"/>
                <w:szCs w:val="22"/>
                <w:u w:val="single"/>
              </w:rPr>
              <w:t>Action Plan</w:t>
            </w:r>
            <w:r w:rsidR="00AF0282" w:rsidRPr="00D6564C">
              <w:rPr>
                <w:rFonts w:asciiTheme="minorHAnsi" w:eastAsiaTheme="minorHAnsi" w:hAnsiTheme="minorHAnsi" w:cstheme="minorBidi"/>
                <w:noProof/>
                <w:webHidden/>
                <w:sz w:val="22"/>
                <w:szCs w:val="22"/>
              </w:rPr>
              <w:tab/>
            </w:r>
            <w:r w:rsidR="00AF0282" w:rsidRPr="00D6564C">
              <w:rPr>
                <w:rFonts w:asciiTheme="minorHAnsi" w:eastAsiaTheme="minorHAnsi" w:hAnsiTheme="minorHAnsi" w:cstheme="minorBidi"/>
                <w:noProof/>
                <w:webHidden/>
                <w:sz w:val="22"/>
                <w:szCs w:val="22"/>
              </w:rPr>
              <w:fldChar w:fldCharType="begin"/>
            </w:r>
            <w:r w:rsidR="00AF0282" w:rsidRPr="00D6564C">
              <w:rPr>
                <w:rFonts w:asciiTheme="minorHAnsi" w:eastAsiaTheme="minorHAnsi" w:hAnsiTheme="minorHAnsi" w:cstheme="minorBidi"/>
                <w:noProof/>
                <w:webHidden/>
                <w:sz w:val="22"/>
                <w:szCs w:val="22"/>
              </w:rPr>
              <w:instrText xml:space="preserve"> PAGEREF _Toc501375932 \h </w:instrText>
            </w:r>
            <w:r w:rsidR="00AF0282" w:rsidRPr="00D6564C">
              <w:rPr>
                <w:rFonts w:asciiTheme="minorHAnsi" w:eastAsiaTheme="minorHAnsi" w:hAnsiTheme="minorHAnsi" w:cstheme="minorBidi"/>
                <w:noProof/>
                <w:webHidden/>
                <w:sz w:val="22"/>
                <w:szCs w:val="22"/>
              </w:rPr>
            </w:r>
            <w:r w:rsidR="00AF0282" w:rsidRPr="00D6564C">
              <w:rPr>
                <w:rFonts w:asciiTheme="minorHAnsi" w:eastAsiaTheme="minorHAnsi" w:hAnsiTheme="minorHAnsi" w:cstheme="minorBidi"/>
                <w:noProof/>
                <w:webHidden/>
                <w:sz w:val="22"/>
                <w:szCs w:val="22"/>
              </w:rPr>
              <w:fldChar w:fldCharType="separate"/>
            </w:r>
            <w:r w:rsidR="00916BEF">
              <w:rPr>
                <w:rFonts w:asciiTheme="minorHAnsi" w:eastAsiaTheme="minorHAnsi" w:hAnsiTheme="minorHAnsi" w:cstheme="minorBidi"/>
                <w:noProof/>
                <w:webHidden/>
                <w:sz w:val="22"/>
                <w:szCs w:val="22"/>
              </w:rPr>
              <w:t>10</w:t>
            </w:r>
            <w:r w:rsidR="00AF0282" w:rsidRPr="00D6564C">
              <w:rPr>
                <w:rFonts w:asciiTheme="minorHAnsi" w:eastAsiaTheme="minorHAnsi" w:hAnsiTheme="minorHAnsi" w:cstheme="minorBidi"/>
                <w:noProof/>
                <w:webHidden/>
                <w:sz w:val="22"/>
                <w:szCs w:val="22"/>
              </w:rPr>
              <w:fldChar w:fldCharType="end"/>
            </w:r>
          </w:hyperlink>
        </w:p>
        <w:p w:rsidR="00AF0282" w:rsidRPr="00D6564C" w:rsidRDefault="00E2641A" w:rsidP="00AF0282">
          <w:pPr>
            <w:tabs>
              <w:tab w:val="left" w:pos="990"/>
              <w:tab w:val="right" w:leader="dot" w:pos="9350"/>
            </w:tabs>
            <w:spacing w:after="100" w:line="276" w:lineRule="auto"/>
            <w:ind w:left="220" w:firstLine="230"/>
            <w:rPr>
              <w:rFonts w:asciiTheme="minorHAnsi" w:eastAsiaTheme="minorEastAsia" w:hAnsiTheme="minorHAnsi" w:cstheme="minorBidi"/>
              <w:noProof/>
              <w:sz w:val="22"/>
              <w:szCs w:val="22"/>
            </w:rPr>
          </w:pPr>
          <w:hyperlink w:anchor="_Toc501375933" w:history="1">
            <w:r w:rsidR="00AF0282" w:rsidRPr="00D6564C">
              <w:rPr>
                <w:rFonts w:asciiTheme="minorHAnsi" w:eastAsiaTheme="minorHAnsi" w:hAnsiTheme="minorHAnsi" w:cstheme="minorBidi"/>
                <w:noProof/>
                <w:color w:val="0000FF" w:themeColor="hyperlink"/>
                <w:sz w:val="22"/>
                <w:szCs w:val="22"/>
                <w:u w:val="single"/>
              </w:rPr>
              <w:t>4.1.</w:t>
            </w:r>
            <w:r w:rsidR="00AF0282" w:rsidRPr="00D6564C">
              <w:rPr>
                <w:rFonts w:asciiTheme="minorHAnsi" w:eastAsiaTheme="minorEastAsia" w:hAnsiTheme="minorHAnsi" w:cstheme="minorBidi"/>
                <w:noProof/>
                <w:sz w:val="22"/>
                <w:szCs w:val="22"/>
              </w:rPr>
              <w:tab/>
            </w:r>
            <w:r w:rsidR="00AF0282" w:rsidRPr="00D6564C">
              <w:rPr>
                <w:rFonts w:asciiTheme="minorHAnsi" w:eastAsiaTheme="minorHAnsi" w:hAnsiTheme="minorHAnsi" w:cstheme="minorBidi"/>
                <w:noProof/>
                <w:color w:val="0000FF" w:themeColor="hyperlink"/>
                <w:sz w:val="22"/>
                <w:szCs w:val="22"/>
                <w:u w:val="single"/>
              </w:rPr>
              <w:t>Proposed Activities</w:t>
            </w:r>
            <w:r w:rsidR="00AF0282" w:rsidRPr="00D6564C">
              <w:rPr>
                <w:rFonts w:asciiTheme="minorHAnsi" w:eastAsiaTheme="minorHAnsi" w:hAnsiTheme="minorHAnsi" w:cstheme="minorBidi"/>
                <w:noProof/>
                <w:webHidden/>
                <w:sz w:val="22"/>
                <w:szCs w:val="22"/>
              </w:rPr>
              <w:tab/>
            </w:r>
            <w:r w:rsidR="00AF0282" w:rsidRPr="00D6564C">
              <w:rPr>
                <w:rFonts w:asciiTheme="minorHAnsi" w:eastAsiaTheme="minorHAnsi" w:hAnsiTheme="minorHAnsi" w:cstheme="minorBidi"/>
                <w:noProof/>
                <w:webHidden/>
                <w:sz w:val="22"/>
                <w:szCs w:val="22"/>
              </w:rPr>
              <w:fldChar w:fldCharType="begin"/>
            </w:r>
            <w:r w:rsidR="00AF0282" w:rsidRPr="00D6564C">
              <w:rPr>
                <w:rFonts w:asciiTheme="minorHAnsi" w:eastAsiaTheme="minorHAnsi" w:hAnsiTheme="minorHAnsi" w:cstheme="minorBidi"/>
                <w:noProof/>
                <w:webHidden/>
                <w:sz w:val="22"/>
                <w:szCs w:val="22"/>
              </w:rPr>
              <w:instrText xml:space="preserve"> PAGEREF _Toc501375933 \h </w:instrText>
            </w:r>
            <w:r w:rsidR="00AF0282" w:rsidRPr="00D6564C">
              <w:rPr>
                <w:rFonts w:asciiTheme="minorHAnsi" w:eastAsiaTheme="minorHAnsi" w:hAnsiTheme="minorHAnsi" w:cstheme="minorBidi"/>
                <w:noProof/>
                <w:webHidden/>
                <w:sz w:val="22"/>
                <w:szCs w:val="22"/>
              </w:rPr>
            </w:r>
            <w:r w:rsidR="00AF0282" w:rsidRPr="00D6564C">
              <w:rPr>
                <w:rFonts w:asciiTheme="minorHAnsi" w:eastAsiaTheme="minorHAnsi" w:hAnsiTheme="minorHAnsi" w:cstheme="minorBidi"/>
                <w:noProof/>
                <w:webHidden/>
                <w:sz w:val="22"/>
                <w:szCs w:val="22"/>
              </w:rPr>
              <w:fldChar w:fldCharType="separate"/>
            </w:r>
            <w:r w:rsidR="00916BEF">
              <w:rPr>
                <w:rFonts w:asciiTheme="minorHAnsi" w:eastAsiaTheme="minorHAnsi" w:hAnsiTheme="minorHAnsi" w:cstheme="minorBidi"/>
                <w:noProof/>
                <w:webHidden/>
                <w:sz w:val="22"/>
                <w:szCs w:val="22"/>
              </w:rPr>
              <w:t>10</w:t>
            </w:r>
            <w:r w:rsidR="00AF0282" w:rsidRPr="00D6564C">
              <w:rPr>
                <w:rFonts w:asciiTheme="minorHAnsi" w:eastAsiaTheme="minorHAnsi" w:hAnsiTheme="minorHAnsi" w:cstheme="minorBidi"/>
                <w:noProof/>
                <w:webHidden/>
                <w:sz w:val="22"/>
                <w:szCs w:val="22"/>
              </w:rPr>
              <w:fldChar w:fldCharType="end"/>
            </w:r>
          </w:hyperlink>
        </w:p>
        <w:p w:rsidR="00AF0282" w:rsidRPr="00D6564C" w:rsidRDefault="00E2641A" w:rsidP="00AF0282">
          <w:pPr>
            <w:tabs>
              <w:tab w:val="left" w:pos="990"/>
              <w:tab w:val="right" w:leader="dot" w:pos="9350"/>
            </w:tabs>
            <w:spacing w:after="100" w:line="276" w:lineRule="auto"/>
            <w:ind w:left="220" w:firstLine="230"/>
            <w:rPr>
              <w:rFonts w:asciiTheme="minorHAnsi" w:eastAsiaTheme="minorEastAsia" w:hAnsiTheme="minorHAnsi" w:cstheme="minorBidi"/>
              <w:noProof/>
              <w:sz w:val="22"/>
              <w:szCs w:val="22"/>
            </w:rPr>
          </w:pPr>
          <w:hyperlink w:anchor="_Toc501375934" w:history="1">
            <w:r w:rsidR="00AF0282" w:rsidRPr="00D6564C">
              <w:rPr>
                <w:rFonts w:asciiTheme="minorHAnsi" w:eastAsiaTheme="minorHAnsi" w:hAnsiTheme="minorHAnsi" w:cstheme="minorBidi"/>
                <w:noProof/>
                <w:color w:val="0000FF" w:themeColor="hyperlink"/>
                <w:sz w:val="22"/>
                <w:szCs w:val="22"/>
                <w:u w:val="single"/>
              </w:rPr>
              <w:t>4.2.</w:t>
            </w:r>
            <w:r w:rsidR="00AF0282" w:rsidRPr="00D6564C">
              <w:rPr>
                <w:rFonts w:asciiTheme="minorHAnsi" w:eastAsiaTheme="minorEastAsia" w:hAnsiTheme="minorHAnsi" w:cstheme="minorBidi"/>
                <w:noProof/>
                <w:sz w:val="22"/>
                <w:szCs w:val="22"/>
              </w:rPr>
              <w:tab/>
            </w:r>
            <w:r w:rsidR="00AF0282" w:rsidRPr="00D6564C">
              <w:rPr>
                <w:rFonts w:asciiTheme="minorHAnsi" w:eastAsiaTheme="minorHAnsi" w:hAnsiTheme="minorHAnsi" w:cstheme="minorBidi"/>
                <w:noProof/>
                <w:color w:val="0000FF" w:themeColor="hyperlink"/>
                <w:sz w:val="22"/>
                <w:szCs w:val="22"/>
                <w:u w:val="single"/>
              </w:rPr>
              <w:t>Barrier Analysis</w:t>
            </w:r>
            <w:r w:rsidR="00AF0282" w:rsidRPr="00D6564C">
              <w:rPr>
                <w:rFonts w:asciiTheme="minorHAnsi" w:eastAsiaTheme="minorHAnsi" w:hAnsiTheme="minorHAnsi" w:cstheme="minorBidi"/>
                <w:noProof/>
                <w:webHidden/>
                <w:sz w:val="22"/>
                <w:szCs w:val="22"/>
              </w:rPr>
              <w:tab/>
            </w:r>
            <w:r w:rsidR="00AF0282" w:rsidRPr="00D6564C">
              <w:rPr>
                <w:rFonts w:asciiTheme="minorHAnsi" w:eastAsiaTheme="minorHAnsi" w:hAnsiTheme="minorHAnsi" w:cstheme="minorBidi"/>
                <w:noProof/>
                <w:webHidden/>
                <w:sz w:val="22"/>
                <w:szCs w:val="22"/>
              </w:rPr>
              <w:fldChar w:fldCharType="begin"/>
            </w:r>
            <w:r w:rsidR="00AF0282" w:rsidRPr="00D6564C">
              <w:rPr>
                <w:rFonts w:asciiTheme="minorHAnsi" w:eastAsiaTheme="minorHAnsi" w:hAnsiTheme="minorHAnsi" w:cstheme="minorBidi"/>
                <w:noProof/>
                <w:webHidden/>
                <w:sz w:val="22"/>
                <w:szCs w:val="22"/>
              </w:rPr>
              <w:instrText xml:space="preserve"> PAGEREF _Toc501375934 \h </w:instrText>
            </w:r>
            <w:r w:rsidR="00AF0282" w:rsidRPr="00D6564C">
              <w:rPr>
                <w:rFonts w:asciiTheme="minorHAnsi" w:eastAsiaTheme="minorHAnsi" w:hAnsiTheme="minorHAnsi" w:cstheme="minorBidi"/>
                <w:noProof/>
                <w:webHidden/>
                <w:sz w:val="22"/>
                <w:szCs w:val="22"/>
              </w:rPr>
            </w:r>
            <w:r w:rsidR="00AF0282" w:rsidRPr="00D6564C">
              <w:rPr>
                <w:rFonts w:asciiTheme="minorHAnsi" w:eastAsiaTheme="minorHAnsi" w:hAnsiTheme="minorHAnsi" w:cstheme="minorBidi"/>
                <w:noProof/>
                <w:webHidden/>
                <w:sz w:val="22"/>
                <w:szCs w:val="22"/>
              </w:rPr>
              <w:fldChar w:fldCharType="separate"/>
            </w:r>
            <w:r w:rsidR="00916BEF">
              <w:rPr>
                <w:rFonts w:asciiTheme="minorHAnsi" w:eastAsiaTheme="minorHAnsi" w:hAnsiTheme="minorHAnsi" w:cstheme="minorBidi"/>
                <w:noProof/>
                <w:webHidden/>
                <w:sz w:val="22"/>
                <w:szCs w:val="22"/>
              </w:rPr>
              <w:t>11</w:t>
            </w:r>
            <w:r w:rsidR="00AF0282" w:rsidRPr="00D6564C">
              <w:rPr>
                <w:rFonts w:asciiTheme="minorHAnsi" w:eastAsiaTheme="minorHAnsi" w:hAnsiTheme="minorHAnsi" w:cstheme="minorBidi"/>
                <w:noProof/>
                <w:webHidden/>
                <w:sz w:val="22"/>
                <w:szCs w:val="22"/>
              </w:rPr>
              <w:fldChar w:fldCharType="end"/>
            </w:r>
          </w:hyperlink>
        </w:p>
        <w:p w:rsidR="00AF0282" w:rsidRPr="00D6564C" w:rsidRDefault="00E2641A" w:rsidP="00AF0282">
          <w:pPr>
            <w:tabs>
              <w:tab w:val="left" w:pos="990"/>
              <w:tab w:val="right" w:leader="dot" w:pos="9350"/>
            </w:tabs>
            <w:spacing w:after="100" w:line="276" w:lineRule="auto"/>
            <w:ind w:left="220" w:firstLine="230"/>
            <w:rPr>
              <w:rFonts w:asciiTheme="minorHAnsi" w:eastAsiaTheme="minorEastAsia" w:hAnsiTheme="minorHAnsi" w:cstheme="minorBidi"/>
              <w:noProof/>
              <w:sz w:val="22"/>
              <w:szCs w:val="22"/>
            </w:rPr>
          </w:pPr>
          <w:hyperlink w:anchor="_Toc501375935" w:history="1">
            <w:r w:rsidR="00AF0282" w:rsidRPr="00D6564C">
              <w:rPr>
                <w:rFonts w:asciiTheme="minorHAnsi" w:eastAsiaTheme="minorHAnsi" w:hAnsiTheme="minorHAnsi" w:cstheme="minorBidi"/>
                <w:noProof/>
                <w:color w:val="0000FF" w:themeColor="hyperlink"/>
                <w:sz w:val="22"/>
                <w:szCs w:val="22"/>
                <w:u w:val="single"/>
              </w:rPr>
              <w:t>4.3.</w:t>
            </w:r>
            <w:r w:rsidR="00AF0282" w:rsidRPr="00D6564C">
              <w:rPr>
                <w:rFonts w:asciiTheme="minorHAnsi" w:eastAsiaTheme="minorEastAsia" w:hAnsiTheme="minorHAnsi" w:cstheme="minorBidi"/>
                <w:noProof/>
                <w:sz w:val="22"/>
                <w:szCs w:val="22"/>
              </w:rPr>
              <w:tab/>
            </w:r>
            <w:r w:rsidR="00AF0282" w:rsidRPr="00D6564C">
              <w:rPr>
                <w:rFonts w:asciiTheme="minorHAnsi" w:eastAsiaTheme="minorHAnsi" w:hAnsiTheme="minorHAnsi" w:cstheme="minorBidi"/>
                <w:noProof/>
                <w:color w:val="0000FF" w:themeColor="hyperlink"/>
                <w:sz w:val="22"/>
                <w:szCs w:val="22"/>
                <w:u w:val="single"/>
              </w:rPr>
              <w:t>Proposed Commission Direction</w:t>
            </w:r>
            <w:r w:rsidR="00AF0282" w:rsidRPr="00D6564C">
              <w:rPr>
                <w:rFonts w:asciiTheme="minorHAnsi" w:eastAsiaTheme="minorHAnsi" w:hAnsiTheme="minorHAnsi" w:cstheme="minorBidi"/>
                <w:noProof/>
                <w:webHidden/>
                <w:sz w:val="22"/>
                <w:szCs w:val="22"/>
              </w:rPr>
              <w:tab/>
            </w:r>
            <w:r w:rsidR="00AF0282" w:rsidRPr="00D6564C">
              <w:rPr>
                <w:rFonts w:asciiTheme="minorHAnsi" w:eastAsiaTheme="minorHAnsi" w:hAnsiTheme="minorHAnsi" w:cstheme="minorBidi"/>
                <w:noProof/>
                <w:webHidden/>
                <w:sz w:val="22"/>
                <w:szCs w:val="22"/>
              </w:rPr>
              <w:fldChar w:fldCharType="begin"/>
            </w:r>
            <w:r w:rsidR="00AF0282" w:rsidRPr="00D6564C">
              <w:rPr>
                <w:rFonts w:asciiTheme="minorHAnsi" w:eastAsiaTheme="minorHAnsi" w:hAnsiTheme="minorHAnsi" w:cstheme="minorBidi"/>
                <w:noProof/>
                <w:webHidden/>
                <w:sz w:val="22"/>
                <w:szCs w:val="22"/>
              </w:rPr>
              <w:instrText xml:space="preserve"> PAGEREF _Toc501375935 \h </w:instrText>
            </w:r>
            <w:r w:rsidR="00AF0282" w:rsidRPr="00D6564C">
              <w:rPr>
                <w:rFonts w:asciiTheme="minorHAnsi" w:eastAsiaTheme="minorHAnsi" w:hAnsiTheme="minorHAnsi" w:cstheme="minorBidi"/>
                <w:noProof/>
                <w:webHidden/>
                <w:sz w:val="22"/>
                <w:szCs w:val="22"/>
              </w:rPr>
            </w:r>
            <w:r w:rsidR="00AF0282" w:rsidRPr="00D6564C">
              <w:rPr>
                <w:rFonts w:asciiTheme="minorHAnsi" w:eastAsiaTheme="minorHAnsi" w:hAnsiTheme="minorHAnsi" w:cstheme="minorBidi"/>
                <w:noProof/>
                <w:webHidden/>
                <w:sz w:val="22"/>
                <w:szCs w:val="22"/>
              </w:rPr>
              <w:fldChar w:fldCharType="separate"/>
            </w:r>
            <w:r w:rsidR="00916BEF">
              <w:rPr>
                <w:rFonts w:asciiTheme="minorHAnsi" w:eastAsiaTheme="minorHAnsi" w:hAnsiTheme="minorHAnsi" w:cstheme="minorBidi"/>
                <w:noProof/>
                <w:webHidden/>
                <w:sz w:val="22"/>
                <w:szCs w:val="22"/>
              </w:rPr>
              <w:t>11</w:t>
            </w:r>
            <w:r w:rsidR="00AF0282" w:rsidRPr="00D6564C">
              <w:rPr>
                <w:rFonts w:asciiTheme="minorHAnsi" w:eastAsiaTheme="minorHAnsi" w:hAnsiTheme="minorHAnsi" w:cstheme="minorBidi"/>
                <w:noProof/>
                <w:webHidden/>
                <w:sz w:val="22"/>
                <w:szCs w:val="22"/>
              </w:rPr>
              <w:fldChar w:fldCharType="end"/>
            </w:r>
          </w:hyperlink>
        </w:p>
        <w:p w:rsidR="00AF0282" w:rsidRPr="00D6564C" w:rsidRDefault="00E2641A" w:rsidP="00AF0282">
          <w:pPr>
            <w:tabs>
              <w:tab w:val="left" w:pos="440"/>
              <w:tab w:val="right" w:leader="dot" w:pos="9350"/>
            </w:tabs>
            <w:spacing w:after="100" w:line="276" w:lineRule="auto"/>
            <w:rPr>
              <w:rFonts w:asciiTheme="minorHAnsi" w:eastAsiaTheme="minorEastAsia" w:hAnsiTheme="minorHAnsi" w:cstheme="minorBidi"/>
              <w:noProof/>
              <w:sz w:val="22"/>
              <w:szCs w:val="22"/>
            </w:rPr>
          </w:pPr>
          <w:hyperlink w:anchor="_Toc501375936" w:history="1">
            <w:r w:rsidR="00AF0282" w:rsidRPr="00D6564C">
              <w:rPr>
                <w:rFonts w:asciiTheme="minorHAnsi" w:eastAsiaTheme="minorHAnsi" w:hAnsiTheme="minorHAnsi" w:cstheme="minorBidi"/>
                <w:noProof/>
                <w:color w:val="0000FF" w:themeColor="hyperlink"/>
                <w:sz w:val="22"/>
                <w:szCs w:val="22"/>
                <w:u w:val="single"/>
              </w:rPr>
              <w:t>5.</w:t>
            </w:r>
            <w:r w:rsidR="00AF0282" w:rsidRPr="00D6564C">
              <w:rPr>
                <w:rFonts w:asciiTheme="minorHAnsi" w:eastAsiaTheme="minorEastAsia" w:hAnsiTheme="minorHAnsi" w:cstheme="minorBidi"/>
                <w:noProof/>
                <w:sz w:val="22"/>
                <w:szCs w:val="22"/>
              </w:rPr>
              <w:tab/>
            </w:r>
            <w:r w:rsidR="00AF0282" w:rsidRPr="00D6564C">
              <w:rPr>
                <w:rFonts w:asciiTheme="minorHAnsi" w:eastAsiaTheme="minorHAnsi" w:hAnsiTheme="minorHAnsi" w:cstheme="minorBidi"/>
                <w:noProof/>
                <w:color w:val="0000FF" w:themeColor="hyperlink"/>
                <w:sz w:val="22"/>
                <w:szCs w:val="22"/>
                <w:u w:val="single"/>
              </w:rPr>
              <w:t>Data</w:t>
            </w:r>
            <w:r w:rsidR="00AF0282" w:rsidRPr="00D6564C">
              <w:rPr>
                <w:rFonts w:asciiTheme="minorHAnsi" w:eastAsiaTheme="minorHAnsi" w:hAnsiTheme="minorHAnsi" w:cstheme="minorBidi"/>
                <w:noProof/>
                <w:webHidden/>
                <w:sz w:val="22"/>
                <w:szCs w:val="22"/>
              </w:rPr>
              <w:tab/>
            </w:r>
            <w:r w:rsidR="00AF0282" w:rsidRPr="00D6564C">
              <w:rPr>
                <w:rFonts w:asciiTheme="minorHAnsi" w:eastAsiaTheme="minorHAnsi" w:hAnsiTheme="minorHAnsi" w:cstheme="minorBidi"/>
                <w:noProof/>
                <w:webHidden/>
                <w:sz w:val="22"/>
                <w:szCs w:val="22"/>
              </w:rPr>
              <w:fldChar w:fldCharType="begin"/>
            </w:r>
            <w:r w:rsidR="00AF0282" w:rsidRPr="00D6564C">
              <w:rPr>
                <w:rFonts w:asciiTheme="minorHAnsi" w:eastAsiaTheme="minorHAnsi" w:hAnsiTheme="minorHAnsi" w:cstheme="minorBidi"/>
                <w:noProof/>
                <w:webHidden/>
                <w:sz w:val="22"/>
                <w:szCs w:val="22"/>
              </w:rPr>
              <w:instrText xml:space="preserve"> PAGEREF _Toc501375936 \h </w:instrText>
            </w:r>
            <w:r w:rsidR="00AF0282" w:rsidRPr="00D6564C">
              <w:rPr>
                <w:rFonts w:asciiTheme="minorHAnsi" w:eastAsiaTheme="minorHAnsi" w:hAnsiTheme="minorHAnsi" w:cstheme="minorBidi"/>
                <w:noProof/>
                <w:webHidden/>
                <w:sz w:val="22"/>
                <w:szCs w:val="22"/>
              </w:rPr>
            </w:r>
            <w:r w:rsidR="00AF0282" w:rsidRPr="00D6564C">
              <w:rPr>
                <w:rFonts w:asciiTheme="minorHAnsi" w:eastAsiaTheme="minorHAnsi" w:hAnsiTheme="minorHAnsi" w:cstheme="minorBidi"/>
                <w:noProof/>
                <w:webHidden/>
                <w:sz w:val="22"/>
                <w:szCs w:val="22"/>
              </w:rPr>
              <w:fldChar w:fldCharType="separate"/>
            </w:r>
            <w:r w:rsidR="00916BEF">
              <w:rPr>
                <w:rFonts w:asciiTheme="minorHAnsi" w:eastAsiaTheme="minorHAnsi" w:hAnsiTheme="minorHAnsi" w:cstheme="minorBidi"/>
                <w:noProof/>
                <w:webHidden/>
                <w:sz w:val="22"/>
                <w:szCs w:val="22"/>
              </w:rPr>
              <w:t>11</w:t>
            </w:r>
            <w:r w:rsidR="00AF0282" w:rsidRPr="00D6564C">
              <w:rPr>
                <w:rFonts w:asciiTheme="minorHAnsi" w:eastAsiaTheme="minorHAnsi" w:hAnsiTheme="minorHAnsi" w:cstheme="minorBidi"/>
                <w:noProof/>
                <w:webHidden/>
                <w:sz w:val="22"/>
                <w:szCs w:val="22"/>
              </w:rPr>
              <w:fldChar w:fldCharType="end"/>
            </w:r>
          </w:hyperlink>
        </w:p>
        <w:p w:rsidR="00AF0282" w:rsidRPr="00D6564C" w:rsidRDefault="00E2641A" w:rsidP="00AF0282">
          <w:pPr>
            <w:tabs>
              <w:tab w:val="left" w:pos="990"/>
              <w:tab w:val="right" w:leader="dot" w:pos="9350"/>
            </w:tabs>
            <w:spacing w:after="100" w:line="276" w:lineRule="auto"/>
            <w:ind w:left="220" w:firstLine="230"/>
            <w:rPr>
              <w:rFonts w:asciiTheme="minorHAnsi" w:eastAsiaTheme="minorEastAsia" w:hAnsiTheme="minorHAnsi" w:cstheme="minorBidi"/>
              <w:noProof/>
              <w:sz w:val="22"/>
              <w:szCs w:val="22"/>
            </w:rPr>
          </w:pPr>
          <w:hyperlink w:anchor="_Toc501375937" w:history="1">
            <w:r w:rsidR="00AF0282" w:rsidRPr="00D6564C">
              <w:rPr>
                <w:rFonts w:asciiTheme="minorHAnsi" w:eastAsiaTheme="minorHAnsi" w:hAnsiTheme="minorHAnsi" w:cstheme="minorBidi"/>
                <w:noProof/>
                <w:color w:val="0000FF" w:themeColor="hyperlink"/>
                <w:sz w:val="22"/>
                <w:szCs w:val="22"/>
                <w:u w:val="single"/>
              </w:rPr>
              <w:t>5.1.</w:t>
            </w:r>
            <w:r w:rsidR="00AF0282" w:rsidRPr="00D6564C">
              <w:rPr>
                <w:rFonts w:asciiTheme="minorHAnsi" w:eastAsiaTheme="minorEastAsia" w:hAnsiTheme="minorHAnsi" w:cstheme="minorBidi"/>
                <w:noProof/>
                <w:sz w:val="22"/>
                <w:szCs w:val="22"/>
              </w:rPr>
              <w:tab/>
            </w:r>
            <w:r w:rsidR="00AF0282" w:rsidRPr="00D6564C">
              <w:rPr>
                <w:rFonts w:asciiTheme="minorHAnsi" w:eastAsiaTheme="minorHAnsi" w:hAnsiTheme="minorHAnsi" w:cstheme="minorBidi"/>
                <w:noProof/>
                <w:color w:val="0000FF" w:themeColor="hyperlink"/>
                <w:sz w:val="22"/>
                <w:szCs w:val="22"/>
                <w:u w:val="single"/>
              </w:rPr>
              <w:t>Baseline Resource Data Template</w:t>
            </w:r>
            <w:r w:rsidR="00AF0282" w:rsidRPr="00D6564C">
              <w:rPr>
                <w:rFonts w:asciiTheme="minorHAnsi" w:eastAsiaTheme="minorHAnsi" w:hAnsiTheme="minorHAnsi" w:cstheme="minorBidi"/>
                <w:noProof/>
                <w:webHidden/>
                <w:sz w:val="22"/>
                <w:szCs w:val="22"/>
              </w:rPr>
              <w:tab/>
            </w:r>
            <w:r w:rsidR="00AF0282" w:rsidRPr="00D6564C">
              <w:rPr>
                <w:rFonts w:asciiTheme="minorHAnsi" w:eastAsiaTheme="minorHAnsi" w:hAnsiTheme="minorHAnsi" w:cstheme="minorBidi"/>
                <w:noProof/>
                <w:webHidden/>
                <w:sz w:val="22"/>
                <w:szCs w:val="22"/>
              </w:rPr>
              <w:fldChar w:fldCharType="begin"/>
            </w:r>
            <w:r w:rsidR="00AF0282" w:rsidRPr="00D6564C">
              <w:rPr>
                <w:rFonts w:asciiTheme="minorHAnsi" w:eastAsiaTheme="minorHAnsi" w:hAnsiTheme="minorHAnsi" w:cstheme="minorBidi"/>
                <w:noProof/>
                <w:webHidden/>
                <w:sz w:val="22"/>
                <w:szCs w:val="22"/>
              </w:rPr>
              <w:instrText xml:space="preserve"> PAGEREF _Toc501375937 \h </w:instrText>
            </w:r>
            <w:r w:rsidR="00AF0282" w:rsidRPr="00D6564C">
              <w:rPr>
                <w:rFonts w:asciiTheme="minorHAnsi" w:eastAsiaTheme="minorHAnsi" w:hAnsiTheme="minorHAnsi" w:cstheme="minorBidi"/>
                <w:noProof/>
                <w:webHidden/>
                <w:sz w:val="22"/>
                <w:szCs w:val="22"/>
              </w:rPr>
            </w:r>
            <w:r w:rsidR="00AF0282" w:rsidRPr="00D6564C">
              <w:rPr>
                <w:rFonts w:asciiTheme="minorHAnsi" w:eastAsiaTheme="minorHAnsi" w:hAnsiTheme="minorHAnsi" w:cstheme="minorBidi"/>
                <w:noProof/>
                <w:webHidden/>
                <w:sz w:val="22"/>
                <w:szCs w:val="22"/>
              </w:rPr>
              <w:fldChar w:fldCharType="separate"/>
            </w:r>
            <w:r w:rsidR="00916BEF">
              <w:rPr>
                <w:rFonts w:asciiTheme="minorHAnsi" w:eastAsiaTheme="minorHAnsi" w:hAnsiTheme="minorHAnsi" w:cstheme="minorBidi"/>
                <w:noProof/>
                <w:webHidden/>
                <w:sz w:val="22"/>
                <w:szCs w:val="22"/>
              </w:rPr>
              <w:t>11</w:t>
            </w:r>
            <w:r w:rsidR="00AF0282" w:rsidRPr="00D6564C">
              <w:rPr>
                <w:rFonts w:asciiTheme="minorHAnsi" w:eastAsiaTheme="minorHAnsi" w:hAnsiTheme="minorHAnsi" w:cstheme="minorBidi"/>
                <w:noProof/>
                <w:webHidden/>
                <w:sz w:val="22"/>
                <w:szCs w:val="22"/>
              </w:rPr>
              <w:fldChar w:fldCharType="end"/>
            </w:r>
          </w:hyperlink>
        </w:p>
        <w:p w:rsidR="00AF0282" w:rsidRPr="00D6564C" w:rsidRDefault="00E2641A" w:rsidP="00AF0282">
          <w:pPr>
            <w:tabs>
              <w:tab w:val="left" w:pos="990"/>
              <w:tab w:val="right" w:leader="dot" w:pos="9350"/>
            </w:tabs>
            <w:spacing w:after="100" w:line="276" w:lineRule="auto"/>
            <w:ind w:left="220" w:firstLine="230"/>
            <w:rPr>
              <w:rFonts w:asciiTheme="minorHAnsi" w:eastAsiaTheme="minorEastAsia" w:hAnsiTheme="minorHAnsi" w:cstheme="minorBidi"/>
              <w:noProof/>
              <w:sz w:val="22"/>
              <w:szCs w:val="22"/>
            </w:rPr>
          </w:pPr>
          <w:hyperlink w:anchor="_Toc501375938" w:history="1">
            <w:r w:rsidR="00AF0282" w:rsidRPr="00D6564C">
              <w:rPr>
                <w:rFonts w:asciiTheme="minorHAnsi" w:eastAsiaTheme="minorHAnsi" w:hAnsiTheme="minorHAnsi" w:cstheme="minorBidi"/>
                <w:noProof/>
                <w:color w:val="0000FF" w:themeColor="hyperlink"/>
                <w:sz w:val="22"/>
                <w:szCs w:val="22"/>
                <w:u w:val="single"/>
              </w:rPr>
              <w:t>5.2.</w:t>
            </w:r>
            <w:r w:rsidR="00AF0282" w:rsidRPr="00D6564C">
              <w:rPr>
                <w:rFonts w:asciiTheme="minorHAnsi" w:eastAsiaTheme="minorEastAsia" w:hAnsiTheme="minorHAnsi" w:cstheme="minorBidi"/>
                <w:noProof/>
                <w:sz w:val="22"/>
                <w:szCs w:val="22"/>
              </w:rPr>
              <w:tab/>
            </w:r>
            <w:r w:rsidR="00AF0282" w:rsidRPr="00D6564C">
              <w:rPr>
                <w:rFonts w:asciiTheme="minorHAnsi" w:eastAsiaTheme="minorHAnsi" w:hAnsiTheme="minorHAnsi" w:cstheme="minorBidi"/>
                <w:noProof/>
                <w:color w:val="0000FF" w:themeColor="hyperlink"/>
                <w:sz w:val="22"/>
                <w:szCs w:val="22"/>
                <w:u w:val="single"/>
              </w:rPr>
              <w:t>New Resource Data Template</w:t>
            </w:r>
            <w:r w:rsidR="00AF0282" w:rsidRPr="00D6564C">
              <w:rPr>
                <w:rFonts w:asciiTheme="minorHAnsi" w:eastAsiaTheme="minorHAnsi" w:hAnsiTheme="minorHAnsi" w:cstheme="minorBidi"/>
                <w:noProof/>
                <w:webHidden/>
                <w:sz w:val="22"/>
                <w:szCs w:val="22"/>
              </w:rPr>
              <w:tab/>
            </w:r>
            <w:r w:rsidR="00AF0282" w:rsidRPr="00D6564C">
              <w:rPr>
                <w:rFonts w:asciiTheme="minorHAnsi" w:eastAsiaTheme="minorHAnsi" w:hAnsiTheme="minorHAnsi" w:cstheme="minorBidi"/>
                <w:noProof/>
                <w:webHidden/>
                <w:sz w:val="22"/>
                <w:szCs w:val="22"/>
              </w:rPr>
              <w:fldChar w:fldCharType="begin"/>
            </w:r>
            <w:r w:rsidR="00AF0282" w:rsidRPr="00D6564C">
              <w:rPr>
                <w:rFonts w:asciiTheme="minorHAnsi" w:eastAsiaTheme="minorHAnsi" w:hAnsiTheme="minorHAnsi" w:cstheme="minorBidi"/>
                <w:noProof/>
                <w:webHidden/>
                <w:sz w:val="22"/>
                <w:szCs w:val="22"/>
              </w:rPr>
              <w:instrText xml:space="preserve"> PAGEREF _Toc501375938 \h </w:instrText>
            </w:r>
            <w:r w:rsidR="00AF0282" w:rsidRPr="00D6564C">
              <w:rPr>
                <w:rFonts w:asciiTheme="minorHAnsi" w:eastAsiaTheme="minorHAnsi" w:hAnsiTheme="minorHAnsi" w:cstheme="minorBidi"/>
                <w:noProof/>
                <w:webHidden/>
                <w:sz w:val="22"/>
                <w:szCs w:val="22"/>
              </w:rPr>
            </w:r>
            <w:r w:rsidR="00AF0282" w:rsidRPr="00D6564C">
              <w:rPr>
                <w:rFonts w:asciiTheme="minorHAnsi" w:eastAsiaTheme="minorHAnsi" w:hAnsiTheme="minorHAnsi" w:cstheme="minorBidi"/>
                <w:noProof/>
                <w:webHidden/>
                <w:sz w:val="22"/>
                <w:szCs w:val="22"/>
              </w:rPr>
              <w:fldChar w:fldCharType="separate"/>
            </w:r>
            <w:r w:rsidR="00916BEF">
              <w:rPr>
                <w:rFonts w:asciiTheme="minorHAnsi" w:eastAsiaTheme="minorHAnsi" w:hAnsiTheme="minorHAnsi" w:cstheme="minorBidi"/>
                <w:noProof/>
                <w:webHidden/>
                <w:sz w:val="22"/>
                <w:szCs w:val="22"/>
              </w:rPr>
              <w:t>12</w:t>
            </w:r>
            <w:r w:rsidR="00AF0282" w:rsidRPr="00D6564C">
              <w:rPr>
                <w:rFonts w:asciiTheme="minorHAnsi" w:eastAsiaTheme="minorHAnsi" w:hAnsiTheme="minorHAnsi" w:cstheme="minorBidi"/>
                <w:noProof/>
                <w:webHidden/>
                <w:sz w:val="22"/>
                <w:szCs w:val="22"/>
              </w:rPr>
              <w:fldChar w:fldCharType="end"/>
            </w:r>
          </w:hyperlink>
        </w:p>
        <w:p w:rsidR="00AF0282" w:rsidRPr="00D6564C" w:rsidRDefault="00E2641A" w:rsidP="00AF0282">
          <w:pPr>
            <w:tabs>
              <w:tab w:val="left" w:pos="990"/>
              <w:tab w:val="right" w:leader="dot" w:pos="9350"/>
            </w:tabs>
            <w:spacing w:after="100" w:line="276" w:lineRule="auto"/>
            <w:ind w:left="220" w:firstLine="230"/>
            <w:rPr>
              <w:rFonts w:asciiTheme="minorHAnsi" w:eastAsiaTheme="minorEastAsia" w:hAnsiTheme="minorHAnsi" w:cstheme="minorBidi"/>
              <w:noProof/>
              <w:sz w:val="22"/>
              <w:szCs w:val="22"/>
            </w:rPr>
          </w:pPr>
          <w:hyperlink w:anchor="_Toc501375939" w:history="1">
            <w:r w:rsidR="00AF0282" w:rsidRPr="00D6564C">
              <w:rPr>
                <w:rFonts w:asciiTheme="minorHAnsi" w:eastAsiaTheme="minorHAnsi" w:hAnsiTheme="minorHAnsi" w:cstheme="minorBidi"/>
                <w:noProof/>
                <w:color w:val="0000FF" w:themeColor="hyperlink"/>
                <w:sz w:val="22"/>
                <w:szCs w:val="22"/>
                <w:u w:val="single"/>
              </w:rPr>
              <w:t>5.3.</w:t>
            </w:r>
            <w:r w:rsidR="00AF0282" w:rsidRPr="00D6564C">
              <w:rPr>
                <w:rFonts w:asciiTheme="minorHAnsi" w:eastAsiaTheme="minorEastAsia" w:hAnsiTheme="minorHAnsi" w:cstheme="minorBidi"/>
                <w:noProof/>
                <w:sz w:val="22"/>
                <w:szCs w:val="22"/>
              </w:rPr>
              <w:tab/>
            </w:r>
            <w:r w:rsidR="00AF0282" w:rsidRPr="00D6564C">
              <w:rPr>
                <w:rFonts w:asciiTheme="minorHAnsi" w:eastAsiaTheme="minorHAnsi" w:hAnsiTheme="minorHAnsi" w:cstheme="minorBidi"/>
                <w:noProof/>
                <w:color w:val="0000FF" w:themeColor="hyperlink"/>
                <w:sz w:val="22"/>
                <w:szCs w:val="22"/>
                <w:u w:val="single"/>
              </w:rPr>
              <w:t>Other Data Reporting Guidelines</w:t>
            </w:r>
            <w:r w:rsidR="00AF0282" w:rsidRPr="00D6564C">
              <w:rPr>
                <w:rFonts w:asciiTheme="minorHAnsi" w:eastAsiaTheme="minorHAnsi" w:hAnsiTheme="minorHAnsi" w:cstheme="minorBidi"/>
                <w:noProof/>
                <w:webHidden/>
                <w:sz w:val="22"/>
                <w:szCs w:val="22"/>
              </w:rPr>
              <w:tab/>
            </w:r>
            <w:r w:rsidR="00AF0282" w:rsidRPr="00D6564C">
              <w:rPr>
                <w:rFonts w:asciiTheme="minorHAnsi" w:eastAsiaTheme="minorHAnsi" w:hAnsiTheme="minorHAnsi" w:cstheme="minorBidi"/>
                <w:noProof/>
                <w:webHidden/>
                <w:sz w:val="22"/>
                <w:szCs w:val="22"/>
              </w:rPr>
              <w:fldChar w:fldCharType="begin"/>
            </w:r>
            <w:r w:rsidR="00AF0282" w:rsidRPr="00D6564C">
              <w:rPr>
                <w:rFonts w:asciiTheme="minorHAnsi" w:eastAsiaTheme="minorHAnsi" w:hAnsiTheme="minorHAnsi" w:cstheme="minorBidi"/>
                <w:noProof/>
                <w:webHidden/>
                <w:sz w:val="22"/>
                <w:szCs w:val="22"/>
              </w:rPr>
              <w:instrText xml:space="preserve"> PAGEREF _Toc501375939 \h </w:instrText>
            </w:r>
            <w:r w:rsidR="00AF0282" w:rsidRPr="00D6564C">
              <w:rPr>
                <w:rFonts w:asciiTheme="minorHAnsi" w:eastAsiaTheme="minorHAnsi" w:hAnsiTheme="minorHAnsi" w:cstheme="minorBidi"/>
                <w:noProof/>
                <w:webHidden/>
                <w:sz w:val="22"/>
                <w:szCs w:val="22"/>
              </w:rPr>
            </w:r>
            <w:r w:rsidR="00AF0282" w:rsidRPr="00D6564C">
              <w:rPr>
                <w:rFonts w:asciiTheme="minorHAnsi" w:eastAsiaTheme="minorHAnsi" w:hAnsiTheme="minorHAnsi" w:cstheme="minorBidi"/>
                <w:noProof/>
                <w:webHidden/>
                <w:sz w:val="22"/>
                <w:szCs w:val="22"/>
              </w:rPr>
              <w:fldChar w:fldCharType="separate"/>
            </w:r>
            <w:r w:rsidR="00916BEF">
              <w:rPr>
                <w:rFonts w:asciiTheme="minorHAnsi" w:eastAsiaTheme="minorHAnsi" w:hAnsiTheme="minorHAnsi" w:cstheme="minorBidi"/>
                <w:noProof/>
                <w:webHidden/>
                <w:sz w:val="22"/>
                <w:szCs w:val="22"/>
              </w:rPr>
              <w:t>13</w:t>
            </w:r>
            <w:r w:rsidR="00AF0282" w:rsidRPr="00D6564C">
              <w:rPr>
                <w:rFonts w:asciiTheme="minorHAnsi" w:eastAsiaTheme="minorHAnsi" w:hAnsiTheme="minorHAnsi" w:cstheme="minorBidi"/>
                <w:noProof/>
                <w:webHidden/>
                <w:sz w:val="22"/>
                <w:szCs w:val="22"/>
              </w:rPr>
              <w:fldChar w:fldCharType="end"/>
            </w:r>
          </w:hyperlink>
        </w:p>
        <w:p w:rsidR="00AF0282" w:rsidRPr="00D6564C" w:rsidRDefault="00E2641A" w:rsidP="00AF0282">
          <w:pPr>
            <w:tabs>
              <w:tab w:val="left" w:pos="440"/>
              <w:tab w:val="right" w:leader="dot" w:pos="9350"/>
            </w:tabs>
            <w:spacing w:after="100" w:line="276" w:lineRule="auto"/>
            <w:rPr>
              <w:rFonts w:asciiTheme="minorHAnsi" w:eastAsiaTheme="minorEastAsia" w:hAnsiTheme="minorHAnsi" w:cstheme="minorBidi"/>
              <w:noProof/>
              <w:sz w:val="22"/>
              <w:szCs w:val="22"/>
            </w:rPr>
          </w:pPr>
          <w:hyperlink w:anchor="_Toc501375940" w:history="1">
            <w:r w:rsidR="00AF0282" w:rsidRPr="00D6564C">
              <w:rPr>
                <w:rFonts w:asciiTheme="minorHAnsi" w:eastAsiaTheme="minorHAnsi" w:hAnsiTheme="minorHAnsi" w:cstheme="minorBidi"/>
                <w:noProof/>
                <w:color w:val="0000FF" w:themeColor="hyperlink"/>
                <w:sz w:val="22"/>
                <w:szCs w:val="22"/>
                <w:u w:val="single"/>
              </w:rPr>
              <w:t>6.</w:t>
            </w:r>
            <w:r w:rsidR="00AF0282" w:rsidRPr="00D6564C">
              <w:rPr>
                <w:rFonts w:asciiTheme="minorHAnsi" w:eastAsiaTheme="minorEastAsia" w:hAnsiTheme="minorHAnsi" w:cstheme="minorBidi"/>
                <w:noProof/>
                <w:sz w:val="22"/>
                <w:szCs w:val="22"/>
              </w:rPr>
              <w:tab/>
            </w:r>
            <w:r w:rsidR="00AF0282" w:rsidRPr="00D6564C">
              <w:rPr>
                <w:rFonts w:asciiTheme="minorHAnsi" w:eastAsiaTheme="minorHAnsi" w:hAnsiTheme="minorHAnsi" w:cstheme="minorBidi"/>
                <w:noProof/>
                <w:color w:val="0000FF" w:themeColor="hyperlink"/>
                <w:sz w:val="22"/>
                <w:szCs w:val="22"/>
                <w:u w:val="single"/>
              </w:rPr>
              <w:t>Lessons Learned</w:t>
            </w:r>
            <w:r w:rsidR="00AF0282" w:rsidRPr="00D6564C">
              <w:rPr>
                <w:rFonts w:asciiTheme="minorHAnsi" w:eastAsiaTheme="minorHAnsi" w:hAnsiTheme="minorHAnsi" w:cstheme="minorBidi"/>
                <w:noProof/>
                <w:webHidden/>
                <w:sz w:val="22"/>
                <w:szCs w:val="22"/>
              </w:rPr>
              <w:tab/>
            </w:r>
            <w:r w:rsidR="00AF0282" w:rsidRPr="00D6564C">
              <w:rPr>
                <w:rFonts w:asciiTheme="minorHAnsi" w:eastAsiaTheme="minorHAnsi" w:hAnsiTheme="minorHAnsi" w:cstheme="minorBidi"/>
                <w:noProof/>
                <w:webHidden/>
                <w:sz w:val="22"/>
                <w:szCs w:val="22"/>
              </w:rPr>
              <w:fldChar w:fldCharType="begin"/>
            </w:r>
            <w:r w:rsidR="00AF0282" w:rsidRPr="00D6564C">
              <w:rPr>
                <w:rFonts w:asciiTheme="minorHAnsi" w:eastAsiaTheme="minorHAnsi" w:hAnsiTheme="minorHAnsi" w:cstheme="minorBidi"/>
                <w:noProof/>
                <w:webHidden/>
                <w:sz w:val="22"/>
                <w:szCs w:val="22"/>
              </w:rPr>
              <w:instrText xml:space="preserve"> PAGEREF _Toc501375940 \h </w:instrText>
            </w:r>
            <w:r w:rsidR="00AF0282" w:rsidRPr="00D6564C">
              <w:rPr>
                <w:rFonts w:asciiTheme="minorHAnsi" w:eastAsiaTheme="minorHAnsi" w:hAnsiTheme="minorHAnsi" w:cstheme="minorBidi"/>
                <w:noProof/>
                <w:webHidden/>
                <w:sz w:val="22"/>
                <w:szCs w:val="22"/>
              </w:rPr>
            </w:r>
            <w:r w:rsidR="00AF0282" w:rsidRPr="00D6564C">
              <w:rPr>
                <w:rFonts w:asciiTheme="minorHAnsi" w:eastAsiaTheme="minorHAnsi" w:hAnsiTheme="minorHAnsi" w:cstheme="minorBidi"/>
                <w:noProof/>
                <w:webHidden/>
                <w:sz w:val="22"/>
                <w:szCs w:val="22"/>
              </w:rPr>
              <w:fldChar w:fldCharType="separate"/>
            </w:r>
            <w:r w:rsidR="00916BEF">
              <w:rPr>
                <w:rFonts w:asciiTheme="minorHAnsi" w:eastAsiaTheme="minorHAnsi" w:hAnsiTheme="minorHAnsi" w:cstheme="minorBidi"/>
                <w:noProof/>
                <w:webHidden/>
                <w:sz w:val="22"/>
                <w:szCs w:val="22"/>
              </w:rPr>
              <w:t>14</w:t>
            </w:r>
            <w:r w:rsidR="00AF0282" w:rsidRPr="00D6564C">
              <w:rPr>
                <w:rFonts w:asciiTheme="minorHAnsi" w:eastAsiaTheme="minorHAnsi" w:hAnsiTheme="minorHAnsi" w:cstheme="minorBidi"/>
                <w:noProof/>
                <w:webHidden/>
                <w:sz w:val="22"/>
                <w:szCs w:val="22"/>
              </w:rPr>
              <w:fldChar w:fldCharType="end"/>
            </w:r>
          </w:hyperlink>
        </w:p>
        <w:p w:rsidR="00AF0282" w:rsidRPr="00D6564C" w:rsidRDefault="00E2641A" w:rsidP="00AF0282">
          <w:pPr>
            <w:tabs>
              <w:tab w:val="right" w:leader="dot" w:pos="9350"/>
            </w:tabs>
            <w:spacing w:after="100" w:line="276" w:lineRule="auto"/>
            <w:rPr>
              <w:rFonts w:asciiTheme="minorHAnsi" w:eastAsiaTheme="minorEastAsia" w:hAnsiTheme="minorHAnsi" w:cstheme="minorBidi"/>
              <w:noProof/>
              <w:sz w:val="22"/>
              <w:szCs w:val="22"/>
            </w:rPr>
          </w:pPr>
          <w:hyperlink w:anchor="_Toc501375941" w:history="1">
            <w:r w:rsidR="00AF0282" w:rsidRPr="00D6564C">
              <w:rPr>
                <w:rFonts w:asciiTheme="minorHAnsi" w:eastAsiaTheme="minorHAnsi" w:hAnsiTheme="minorHAnsi" w:cstheme="minorBidi"/>
                <w:i/>
                <w:noProof/>
                <w:color w:val="0000FF" w:themeColor="hyperlink"/>
                <w:sz w:val="22"/>
                <w:szCs w:val="22"/>
                <w:u w:val="single"/>
              </w:rPr>
              <w:t>Glossary of Terms</w:t>
            </w:r>
            <w:r w:rsidR="00AF0282" w:rsidRPr="00D6564C">
              <w:rPr>
                <w:rFonts w:asciiTheme="minorHAnsi" w:eastAsiaTheme="minorHAnsi" w:hAnsiTheme="minorHAnsi" w:cstheme="minorBidi"/>
                <w:noProof/>
                <w:webHidden/>
                <w:sz w:val="22"/>
                <w:szCs w:val="22"/>
              </w:rPr>
              <w:tab/>
            </w:r>
            <w:r w:rsidR="00AF0282" w:rsidRPr="00D6564C">
              <w:rPr>
                <w:rFonts w:asciiTheme="minorHAnsi" w:eastAsiaTheme="minorHAnsi" w:hAnsiTheme="minorHAnsi" w:cstheme="minorBidi"/>
                <w:noProof/>
                <w:webHidden/>
                <w:sz w:val="22"/>
                <w:szCs w:val="22"/>
              </w:rPr>
              <w:fldChar w:fldCharType="begin"/>
            </w:r>
            <w:r w:rsidR="00AF0282" w:rsidRPr="00D6564C">
              <w:rPr>
                <w:rFonts w:asciiTheme="minorHAnsi" w:eastAsiaTheme="minorHAnsi" w:hAnsiTheme="minorHAnsi" w:cstheme="minorBidi"/>
                <w:noProof/>
                <w:webHidden/>
                <w:sz w:val="22"/>
                <w:szCs w:val="22"/>
              </w:rPr>
              <w:instrText xml:space="preserve"> PAGEREF _Toc501375941 \h </w:instrText>
            </w:r>
            <w:r w:rsidR="00AF0282" w:rsidRPr="00D6564C">
              <w:rPr>
                <w:rFonts w:asciiTheme="minorHAnsi" w:eastAsiaTheme="minorHAnsi" w:hAnsiTheme="minorHAnsi" w:cstheme="minorBidi"/>
                <w:noProof/>
                <w:webHidden/>
                <w:sz w:val="22"/>
                <w:szCs w:val="22"/>
              </w:rPr>
            </w:r>
            <w:r w:rsidR="00AF0282" w:rsidRPr="00D6564C">
              <w:rPr>
                <w:rFonts w:asciiTheme="minorHAnsi" w:eastAsiaTheme="minorHAnsi" w:hAnsiTheme="minorHAnsi" w:cstheme="minorBidi"/>
                <w:noProof/>
                <w:webHidden/>
                <w:sz w:val="22"/>
                <w:szCs w:val="22"/>
              </w:rPr>
              <w:fldChar w:fldCharType="separate"/>
            </w:r>
            <w:r w:rsidR="00916BEF">
              <w:rPr>
                <w:rFonts w:asciiTheme="minorHAnsi" w:eastAsiaTheme="minorHAnsi" w:hAnsiTheme="minorHAnsi" w:cstheme="minorBidi"/>
                <w:noProof/>
                <w:webHidden/>
                <w:sz w:val="22"/>
                <w:szCs w:val="22"/>
              </w:rPr>
              <w:t>15</w:t>
            </w:r>
            <w:r w:rsidR="00AF0282" w:rsidRPr="00D6564C">
              <w:rPr>
                <w:rFonts w:asciiTheme="minorHAnsi" w:eastAsiaTheme="minorHAnsi" w:hAnsiTheme="minorHAnsi" w:cstheme="minorBidi"/>
                <w:noProof/>
                <w:webHidden/>
                <w:sz w:val="22"/>
                <w:szCs w:val="22"/>
              </w:rPr>
              <w:fldChar w:fldCharType="end"/>
            </w:r>
          </w:hyperlink>
        </w:p>
        <w:p w:rsidR="00AF0282" w:rsidRPr="00D6564C" w:rsidRDefault="00AF0282" w:rsidP="00AF0282">
          <w:pPr>
            <w:spacing w:after="200" w:line="276" w:lineRule="auto"/>
            <w:rPr>
              <w:rFonts w:asciiTheme="minorHAnsi" w:eastAsiaTheme="minorHAnsi" w:hAnsiTheme="minorHAnsi" w:cstheme="minorBidi"/>
              <w:sz w:val="22"/>
              <w:szCs w:val="22"/>
            </w:rPr>
          </w:pPr>
          <w:r w:rsidRPr="00D6564C">
            <w:rPr>
              <w:rFonts w:asciiTheme="minorHAnsi" w:eastAsiaTheme="minorHAnsi" w:hAnsiTheme="minorHAnsi" w:cstheme="minorBidi"/>
              <w:b/>
              <w:bCs/>
              <w:noProof/>
              <w:sz w:val="22"/>
              <w:szCs w:val="22"/>
            </w:rPr>
            <w:fldChar w:fldCharType="end"/>
          </w:r>
        </w:p>
      </w:sdtContent>
    </w:sdt>
    <w:p w:rsidR="00AF0282" w:rsidRPr="00D6564C" w:rsidRDefault="00AF0282" w:rsidP="00AF0282">
      <w:pPr>
        <w:spacing w:after="200" w:line="276" w:lineRule="auto"/>
        <w:rPr>
          <w:rFonts w:asciiTheme="minorHAnsi" w:eastAsiaTheme="minorHAnsi" w:hAnsiTheme="minorHAnsi" w:cstheme="minorBidi"/>
          <w:sz w:val="22"/>
          <w:szCs w:val="22"/>
        </w:rPr>
      </w:pPr>
      <w:r w:rsidRPr="00D6564C">
        <w:rPr>
          <w:rFonts w:asciiTheme="minorHAnsi" w:eastAsiaTheme="minorHAnsi" w:hAnsiTheme="minorHAnsi" w:cstheme="minorBidi"/>
          <w:sz w:val="22"/>
          <w:szCs w:val="22"/>
        </w:rPr>
        <w:br w:type="page"/>
      </w:r>
    </w:p>
    <w:p w:rsidR="00AF0282" w:rsidRPr="00D6564C" w:rsidRDefault="00AF0282" w:rsidP="00AF0282">
      <w:pPr>
        <w:spacing w:after="200" w:line="276" w:lineRule="auto"/>
        <w:rPr>
          <w:rFonts w:asciiTheme="minorHAnsi" w:eastAsiaTheme="minorHAnsi" w:hAnsiTheme="minorHAnsi" w:cstheme="minorBidi"/>
          <w:b/>
          <w:i/>
          <w:sz w:val="22"/>
          <w:szCs w:val="22"/>
          <w:u w:val="single"/>
        </w:rPr>
      </w:pPr>
      <w:r w:rsidRPr="00D6564C">
        <w:rPr>
          <w:rFonts w:asciiTheme="minorHAnsi" w:eastAsiaTheme="minorHAnsi" w:hAnsiTheme="minorHAnsi" w:cstheme="minorBidi"/>
          <w:b/>
          <w:i/>
          <w:sz w:val="22"/>
          <w:szCs w:val="22"/>
          <w:u w:val="single"/>
        </w:rPr>
        <w:lastRenderedPageBreak/>
        <w:t>How to use this template:</w:t>
      </w:r>
    </w:p>
    <w:p w:rsidR="00AF0282" w:rsidRPr="00D6564C" w:rsidRDefault="00AF0282" w:rsidP="00AF0282">
      <w:pPr>
        <w:numPr>
          <w:ilvl w:val="0"/>
          <w:numId w:val="7"/>
        </w:numPr>
        <w:spacing w:after="200" w:line="276" w:lineRule="auto"/>
        <w:contextualSpacing/>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Instructions are provided in italics under each section. Delete all instructions before submitting the form, but preserve the numbered section headings.</w:t>
      </w:r>
    </w:p>
    <w:p w:rsidR="00AF0282" w:rsidRPr="00D6564C" w:rsidRDefault="00AF0282" w:rsidP="00AF0282">
      <w:pPr>
        <w:numPr>
          <w:ilvl w:val="0"/>
          <w:numId w:val="7"/>
        </w:numPr>
        <w:spacing w:after="200" w:line="276" w:lineRule="auto"/>
        <w:contextualSpacing/>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Complete each section. If the section is not applicable to the LSE, simply indicate “Not applicable” and provide a brief explanation.</w:t>
      </w:r>
    </w:p>
    <w:p w:rsidR="00AF0282" w:rsidRPr="00D6564C" w:rsidRDefault="00AF0282" w:rsidP="00AF0282">
      <w:pPr>
        <w:numPr>
          <w:ilvl w:val="0"/>
          <w:numId w:val="7"/>
        </w:numPr>
        <w:spacing w:after="200" w:line="276" w:lineRule="auto"/>
        <w:contextualSpacing/>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Definitions are provided in the Glossary of Terms at the end of this template.</w:t>
      </w:r>
    </w:p>
    <w:p w:rsidR="00AF0282" w:rsidRPr="00D6564C" w:rsidRDefault="00AF0282" w:rsidP="00AF0282">
      <w:pPr>
        <w:keepNext/>
        <w:keepLines/>
        <w:numPr>
          <w:ilvl w:val="0"/>
          <w:numId w:val="2"/>
        </w:numPr>
        <w:spacing w:before="480" w:after="240" w:line="276" w:lineRule="auto"/>
        <w:outlineLvl w:val="0"/>
        <w:rPr>
          <w:rFonts w:asciiTheme="majorHAnsi" w:eastAsiaTheme="majorEastAsia" w:hAnsiTheme="majorHAnsi" w:cstheme="majorBidi"/>
          <w:b/>
          <w:bCs/>
          <w:sz w:val="28"/>
          <w:szCs w:val="28"/>
        </w:rPr>
      </w:pPr>
      <w:bookmarkStart w:id="3" w:name="_Toc501375918"/>
      <w:r w:rsidRPr="00D6564C">
        <w:rPr>
          <w:rFonts w:asciiTheme="majorHAnsi" w:eastAsiaTheme="majorEastAsia" w:hAnsiTheme="majorHAnsi" w:cstheme="majorBidi"/>
          <w:b/>
          <w:bCs/>
          <w:sz w:val="28"/>
          <w:szCs w:val="28"/>
        </w:rPr>
        <w:t>Executive Summary</w:t>
      </w:r>
      <w:bookmarkEnd w:id="3"/>
    </w:p>
    <w:p w:rsidR="00AF0282" w:rsidRPr="00D6564C" w:rsidRDefault="00AF0282" w:rsidP="00AF0282">
      <w:pPr>
        <w:spacing w:after="20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Use this section to provide an overview of the process used by the LSE to develop its plan and summarize the LSE’s findings, including a brief overview of the LSE’s Preferred Portfolio and Action Plan.</w:t>
      </w:r>
    </w:p>
    <w:p w:rsidR="00AF0282" w:rsidRPr="00D6564C" w:rsidRDefault="00AF0282" w:rsidP="00AF0282">
      <w:pPr>
        <w:keepNext/>
        <w:keepLines/>
        <w:numPr>
          <w:ilvl w:val="0"/>
          <w:numId w:val="1"/>
        </w:numPr>
        <w:spacing w:before="480" w:after="240" w:line="276" w:lineRule="auto"/>
        <w:ind w:left="360"/>
        <w:outlineLvl w:val="0"/>
        <w:rPr>
          <w:rFonts w:asciiTheme="majorHAnsi" w:eastAsiaTheme="majorEastAsia" w:hAnsiTheme="majorHAnsi" w:cstheme="majorBidi"/>
          <w:b/>
          <w:bCs/>
          <w:sz w:val="28"/>
          <w:szCs w:val="28"/>
        </w:rPr>
      </w:pPr>
      <w:bookmarkStart w:id="4" w:name="_Toc501375919"/>
      <w:r w:rsidRPr="00D6564C">
        <w:rPr>
          <w:rFonts w:asciiTheme="majorHAnsi" w:eastAsiaTheme="majorEastAsia" w:hAnsiTheme="majorHAnsi" w:cstheme="majorBidi"/>
          <w:b/>
          <w:bCs/>
          <w:sz w:val="28"/>
          <w:szCs w:val="28"/>
        </w:rPr>
        <w:t>Study Design</w:t>
      </w:r>
      <w:bookmarkEnd w:id="4"/>
    </w:p>
    <w:p w:rsidR="00AF0282" w:rsidRPr="00D6564C" w:rsidRDefault="00AF0282" w:rsidP="00AF0282">
      <w:pPr>
        <w:spacing w:after="20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Use this section to describe how the LSE approached the process of developing its LSE Plan.</w:t>
      </w:r>
    </w:p>
    <w:p w:rsidR="00AF0282" w:rsidRPr="00D6564C" w:rsidRDefault="00AF0282" w:rsidP="00AF0282">
      <w:pPr>
        <w:spacing w:after="200" w:line="276" w:lineRule="auto"/>
        <w:rPr>
          <w:rFonts w:asciiTheme="minorHAnsi" w:eastAsiaTheme="minorHAnsi" w:hAnsiTheme="minorHAnsi" w:cstheme="minorBidi"/>
          <w:i/>
          <w:sz w:val="22"/>
          <w:szCs w:val="22"/>
          <w:u w:val="single"/>
        </w:rPr>
      </w:pPr>
      <w:r w:rsidRPr="00D6564C">
        <w:rPr>
          <w:rFonts w:asciiTheme="minorHAnsi" w:eastAsiaTheme="minorHAnsi" w:hAnsiTheme="minorHAnsi" w:cstheme="minorBidi"/>
          <w:b/>
          <w:i/>
          <w:sz w:val="22"/>
          <w:szCs w:val="22"/>
          <w:u w:val="single"/>
        </w:rPr>
        <w:t>Load Assignments for Each LSE</w:t>
      </w:r>
    </w:p>
    <w:p w:rsidR="00853F2F" w:rsidRDefault="00AF0282" w:rsidP="00AF0282">
      <w:pPr>
        <w:spacing w:after="20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xml:space="preserve">For projecting load across the IRP Planning Horizon (i.e., until 2030, for the purposes of IRP 2017-18), LSEs shall use the </w:t>
      </w:r>
      <w:r>
        <w:rPr>
          <w:rFonts w:asciiTheme="minorHAnsi" w:eastAsiaTheme="minorHAnsi" w:hAnsiTheme="minorHAnsi" w:cstheme="minorBidi"/>
          <w:i/>
          <w:sz w:val="22"/>
          <w:szCs w:val="22"/>
        </w:rPr>
        <w:t xml:space="preserve">“mid Baseline </w:t>
      </w:r>
      <w:r w:rsidRPr="00D6564C">
        <w:rPr>
          <w:rFonts w:asciiTheme="minorHAnsi" w:eastAsiaTheme="minorHAnsi" w:hAnsiTheme="minorHAnsi" w:cstheme="minorBidi"/>
          <w:i/>
          <w:sz w:val="22"/>
          <w:szCs w:val="22"/>
        </w:rPr>
        <w:t xml:space="preserve">mid AAEE </w:t>
      </w:r>
      <w:r>
        <w:rPr>
          <w:rFonts w:asciiTheme="minorHAnsi" w:eastAsiaTheme="minorHAnsi" w:hAnsiTheme="minorHAnsi" w:cstheme="minorBidi"/>
          <w:i/>
          <w:sz w:val="22"/>
          <w:szCs w:val="22"/>
        </w:rPr>
        <w:t xml:space="preserve">mid AAPV” </w:t>
      </w:r>
      <w:r w:rsidRPr="00D6564C">
        <w:rPr>
          <w:rFonts w:asciiTheme="minorHAnsi" w:eastAsiaTheme="minorHAnsi" w:hAnsiTheme="minorHAnsi" w:cstheme="minorBidi"/>
          <w:i/>
          <w:sz w:val="22"/>
          <w:szCs w:val="22"/>
        </w:rPr>
        <w:t xml:space="preserve">version of Form 1.1c of the </w:t>
      </w:r>
      <w:r>
        <w:rPr>
          <w:rFonts w:asciiTheme="minorHAnsi" w:eastAsiaTheme="minorHAnsi" w:hAnsiTheme="minorHAnsi" w:cstheme="minorBidi"/>
          <w:i/>
          <w:sz w:val="22"/>
          <w:szCs w:val="22"/>
        </w:rPr>
        <w:t xml:space="preserve">CEC’s adopted </w:t>
      </w:r>
      <w:r w:rsidRPr="00D6564C">
        <w:rPr>
          <w:rFonts w:asciiTheme="minorHAnsi" w:eastAsiaTheme="minorHAnsi" w:hAnsiTheme="minorHAnsi" w:cstheme="minorBidi"/>
          <w:i/>
          <w:sz w:val="22"/>
          <w:szCs w:val="22"/>
        </w:rPr>
        <w:t xml:space="preserve">2017 IEPR </w:t>
      </w:r>
      <w:r>
        <w:rPr>
          <w:rFonts w:asciiTheme="minorHAnsi" w:eastAsiaTheme="minorHAnsi" w:hAnsiTheme="minorHAnsi" w:cstheme="minorBidi"/>
          <w:i/>
          <w:sz w:val="22"/>
          <w:szCs w:val="22"/>
        </w:rPr>
        <w:t>forecast</w:t>
      </w:r>
      <w:r w:rsidR="00701A9B">
        <w:rPr>
          <w:rFonts w:asciiTheme="minorHAnsi" w:eastAsiaTheme="minorHAnsi" w:hAnsiTheme="minorHAnsi" w:cstheme="minorBidi"/>
          <w:i/>
          <w:sz w:val="22"/>
          <w:szCs w:val="22"/>
        </w:rPr>
        <w:t xml:space="preserve">, </w:t>
      </w:r>
      <w:r w:rsidR="00701A9B" w:rsidRPr="00701A9B">
        <w:rPr>
          <w:rFonts w:asciiTheme="minorHAnsi" w:eastAsiaTheme="minorHAnsi" w:hAnsiTheme="minorHAnsi" w:cstheme="minorBidi"/>
          <w:i/>
          <w:sz w:val="22"/>
          <w:szCs w:val="22"/>
        </w:rPr>
        <w:t>unless a new load projection is assigned to the LSE in an</w:t>
      </w:r>
      <w:r w:rsidR="00701A9B">
        <w:rPr>
          <w:rFonts w:asciiTheme="minorHAnsi" w:eastAsiaTheme="minorHAnsi" w:hAnsiTheme="minorHAnsi" w:cstheme="minorBidi"/>
          <w:i/>
          <w:sz w:val="22"/>
          <w:szCs w:val="22"/>
        </w:rPr>
        <w:t xml:space="preserve"> Administrative Law Judge</w:t>
      </w:r>
      <w:r w:rsidR="007C0098">
        <w:rPr>
          <w:rFonts w:asciiTheme="minorHAnsi" w:eastAsiaTheme="minorHAnsi" w:hAnsiTheme="minorHAnsi" w:cstheme="minorBidi"/>
          <w:i/>
          <w:sz w:val="22"/>
          <w:szCs w:val="22"/>
        </w:rPr>
        <w:t xml:space="preserve"> (ALJ)</w:t>
      </w:r>
      <w:r w:rsidR="00701A9B">
        <w:rPr>
          <w:rFonts w:asciiTheme="minorHAnsi" w:eastAsiaTheme="minorHAnsi" w:hAnsiTheme="minorHAnsi" w:cstheme="minorBidi"/>
          <w:i/>
          <w:sz w:val="22"/>
          <w:szCs w:val="22"/>
        </w:rPr>
        <w:t xml:space="preserve"> ruling</w:t>
      </w:r>
      <w:r w:rsidRPr="00D6564C">
        <w:rPr>
          <w:rFonts w:asciiTheme="minorHAnsi" w:eastAsiaTheme="minorHAnsi" w:hAnsiTheme="minorHAnsi" w:cstheme="minorBidi"/>
          <w:i/>
          <w:sz w:val="22"/>
          <w:szCs w:val="22"/>
        </w:rPr>
        <w:t xml:space="preserve">. </w:t>
      </w:r>
    </w:p>
    <w:p w:rsidR="00AF0282" w:rsidRPr="00D6564C" w:rsidRDefault="00AF0282" w:rsidP="00AF0282">
      <w:pPr>
        <w:spacing w:after="200" w:line="276" w:lineRule="auto"/>
        <w:rPr>
          <w:rFonts w:ascii="Calibri" w:eastAsiaTheme="minorHAnsi" w:hAnsi="Calibri" w:cstheme="minorBidi"/>
          <w:i/>
          <w:sz w:val="22"/>
          <w:szCs w:val="22"/>
        </w:rPr>
      </w:pPr>
      <w:r w:rsidRPr="00D6564C">
        <w:rPr>
          <w:rFonts w:asciiTheme="minorHAnsi" w:eastAsiaTheme="minorHAnsi" w:hAnsiTheme="minorHAnsi" w:cstheme="minorBidi"/>
          <w:i/>
          <w:sz w:val="22"/>
          <w:szCs w:val="22"/>
        </w:rPr>
        <w:t xml:space="preserve">An </w:t>
      </w:r>
      <w:r w:rsidRPr="00D6564C">
        <w:rPr>
          <w:rFonts w:ascii="Calibri" w:eastAsiaTheme="minorHAnsi" w:hAnsi="Calibri" w:cstheme="minorBidi"/>
          <w:i/>
          <w:sz w:val="22"/>
          <w:szCs w:val="22"/>
        </w:rPr>
        <w:t xml:space="preserve">ESP may re-purpose its load forecast previously filed with the Commission, provided the load forecast is consistent with the </w:t>
      </w:r>
      <w:r w:rsidRPr="00D6564C">
        <w:rPr>
          <w:rFonts w:asciiTheme="minorHAnsi" w:eastAsiaTheme="minorHAnsi" w:hAnsiTheme="minorHAnsi" w:cstheme="minorBidi"/>
          <w:i/>
          <w:sz w:val="22"/>
          <w:szCs w:val="22"/>
        </w:rPr>
        <w:t xml:space="preserve">one submitted by the ESP to the CEC in its 2017 IEPR Confidential Form 7.1 (Loads and Resources under Contract). </w:t>
      </w:r>
      <w:r w:rsidR="00853F2F">
        <w:rPr>
          <w:rFonts w:asciiTheme="minorHAnsi" w:eastAsiaTheme="minorHAnsi" w:hAnsiTheme="minorHAnsi" w:cstheme="minorBidi"/>
          <w:i/>
          <w:sz w:val="22"/>
          <w:szCs w:val="22"/>
        </w:rPr>
        <w:t>Sm</w:t>
      </w:r>
      <w:r w:rsidR="00853F2F" w:rsidRPr="00853F2F">
        <w:rPr>
          <w:rFonts w:asciiTheme="minorHAnsi" w:eastAsiaTheme="minorHAnsi" w:hAnsiTheme="minorHAnsi" w:cstheme="minorBidi"/>
          <w:i/>
          <w:sz w:val="22"/>
          <w:szCs w:val="22"/>
        </w:rPr>
        <w:t>all</w:t>
      </w:r>
      <w:r w:rsidR="00853F2F">
        <w:rPr>
          <w:rFonts w:asciiTheme="minorHAnsi" w:eastAsiaTheme="minorHAnsi" w:hAnsiTheme="minorHAnsi" w:cstheme="minorBidi"/>
          <w:i/>
          <w:sz w:val="22"/>
          <w:szCs w:val="22"/>
        </w:rPr>
        <w:t xml:space="preserve">er ESPs—specifically, those ESPs </w:t>
      </w:r>
      <w:r w:rsidR="00853F2F" w:rsidRPr="00853F2F">
        <w:rPr>
          <w:rFonts w:asciiTheme="minorHAnsi" w:eastAsiaTheme="minorHAnsi" w:hAnsiTheme="minorHAnsi" w:cstheme="minorBidi"/>
          <w:i/>
          <w:sz w:val="22"/>
          <w:szCs w:val="22"/>
        </w:rPr>
        <w:t xml:space="preserve">with annual peak loads under 200 MW </w:t>
      </w:r>
      <w:r w:rsidR="00853F2F">
        <w:rPr>
          <w:rFonts w:asciiTheme="minorHAnsi" w:eastAsiaTheme="minorHAnsi" w:hAnsiTheme="minorHAnsi" w:cstheme="minorBidi"/>
          <w:i/>
          <w:sz w:val="22"/>
          <w:szCs w:val="22"/>
        </w:rPr>
        <w:t xml:space="preserve">and which </w:t>
      </w:r>
      <w:r w:rsidR="00853F2F" w:rsidRPr="00853F2F">
        <w:rPr>
          <w:rFonts w:asciiTheme="minorHAnsi" w:eastAsiaTheme="minorHAnsi" w:hAnsiTheme="minorHAnsi" w:cstheme="minorBidi"/>
          <w:i/>
          <w:sz w:val="22"/>
          <w:szCs w:val="22"/>
        </w:rPr>
        <w:t xml:space="preserve">are not required to file </w:t>
      </w:r>
      <w:r w:rsidR="00853F2F" w:rsidRPr="00D6564C">
        <w:rPr>
          <w:rFonts w:asciiTheme="minorHAnsi" w:eastAsiaTheme="minorHAnsi" w:hAnsiTheme="minorHAnsi" w:cstheme="minorBidi"/>
          <w:i/>
          <w:sz w:val="22"/>
          <w:szCs w:val="22"/>
        </w:rPr>
        <w:t>IEPR Confidential Form 7.1</w:t>
      </w:r>
      <w:r w:rsidR="00853F2F">
        <w:rPr>
          <w:rFonts w:asciiTheme="minorHAnsi" w:eastAsiaTheme="minorHAnsi" w:hAnsiTheme="minorHAnsi" w:cstheme="minorBidi"/>
          <w:i/>
          <w:sz w:val="22"/>
          <w:szCs w:val="22"/>
        </w:rPr>
        <w:t>—should</w:t>
      </w:r>
      <w:r w:rsidR="00853F2F" w:rsidRPr="00853F2F">
        <w:rPr>
          <w:rFonts w:asciiTheme="minorHAnsi" w:eastAsiaTheme="minorHAnsi" w:hAnsiTheme="minorHAnsi" w:cstheme="minorBidi"/>
          <w:i/>
          <w:sz w:val="22"/>
          <w:szCs w:val="22"/>
        </w:rPr>
        <w:t xml:space="preserve"> utilize their most recent load forecast submission for resource adequacy purposes and extend that annual energy requirement (in GWh) out to 2030. </w:t>
      </w:r>
      <w:r w:rsidRPr="00D6564C">
        <w:rPr>
          <w:rFonts w:asciiTheme="minorHAnsi" w:eastAsiaTheme="minorHAnsi" w:hAnsiTheme="minorHAnsi" w:cstheme="minorBidi"/>
          <w:i/>
          <w:sz w:val="22"/>
          <w:szCs w:val="22"/>
        </w:rPr>
        <w:t xml:space="preserve">ESP load forecasts </w:t>
      </w:r>
      <w:r w:rsidRPr="00D6564C">
        <w:rPr>
          <w:rFonts w:ascii="Calibri" w:eastAsiaTheme="minorHAnsi" w:hAnsi="Calibri" w:cstheme="minorBidi"/>
          <w:i/>
          <w:sz w:val="22"/>
          <w:szCs w:val="22"/>
        </w:rPr>
        <w:t>should be filed under seal, and the Commission staff will aggregate the ESP submittals to protect confidentiality.</w:t>
      </w:r>
    </w:p>
    <w:p w:rsidR="00AF0282" w:rsidRPr="00D6564C" w:rsidRDefault="00AF0282" w:rsidP="00AF0282">
      <w:pPr>
        <w:spacing w:after="200" w:line="276" w:lineRule="auto"/>
        <w:rPr>
          <w:rFonts w:asciiTheme="minorHAnsi" w:eastAsiaTheme="minorHAnsi" w:hAnsiTheme="minorHAnsi" w:cstheme="minorBidi"/>
          <w:b/>
          <w:i/>
          <w:sz w:val="22"/>
          <w:szCs w:val="22"/>
          <w:u w:val="single"/>
        </w:rPr>
      </w:pPr>
      <w:r w:rsidRPr="00D6564C">
        <w:rPr>
          <w:rFonts w:asciiTheme="minorHAnsi" w:eastAsiaTheme="minorHAnsi" w:hAnsiTheme="minorHAnsi" w:cstheme="minorBidi"/>
          <w:b/>
          <w:i/>
          <w:sz w:val="22"/>
          <w:szCs w:val="22"/>
          <w:u w:val="single"/>
        </w:rPr>
        <w:t>Required and Optional Portfolios</w:t>
      </w:r>
    </w:p>
    <w:p w:rsidR="00AF0282" w:rsidRPr="00D6564C" w:rsidRDefault="00AF0282" w:rsidP="00AF0282">
      <w:pPr>
        <w:spacing w:after="20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Each LSE must produce at least one portfolio, deemed the “Conforming Portfolio,” that uses the assigned load forecast and is demonstrated to be consistent with the Reference System Portfolio according to the following criteria:</w:t>
      </w:r>
    </w:p>
    <w:p w:rsidR="00AF0282" w:rsidRPr="00D6564C" w:rsidRDefault="00AF0282" w:rsidP="00916BEF">
      <w:pPr>
        <w:numPr>
          <w:ilvl w:val="0"/>
          <w:numId w:val="3"/>
        </w:numPr>
        <w:spacing w:after="12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xml:space="preserve">Use of either the GHG Planning Prices in Table </w:t>
      </w:r>
      <w:proofErr w:type="gramStart"/>
      <w:r w:rsidRPr="00D6564C">
        <w:rPr>
          <w:rFonts w:asciiTheme="minorHAnsi" w:eastAsiaTheme="minorHAnsi" w:hAnsiTheme="minorHAnsi" w:cstheme="minorBidi"/>
          <w:i/>
          <w:sz w:val="22"/>
          <w:szCs w:val="22"/>
        </w:rPr>
        <w:t>A</w:t>
      </w:r>
      <w:proofErr w:type="gramEnd"/>
      <w:r w:rsidRPr="00D6564C">
        <w:rPr>
          <w:rFonts w:asciiTheme="minorHAnsi" w:eastAsiaTheme="minorHAnsi" w:hAnsiTheme="minorHAnsi" w:cstheme="minorBidi"/>
          <w:i/>
          <w:sz w:val="22"/>
          <w:szCs w:val="22"/>
        </w:rPr>
        <w:t xml:space="preserve"> or the LSE-Specific 2030 GHG Emissions Benchmark </w:t>
      </w:r>
      <w:r w:rsidR="00F737E9">
        <w:rPr>
          <w:rFonts w:ascii="Calibri" w:eastAsia="Calibri" w:hAnsi="Calibri" w:cs="Calibri"/>
          <w:i/>
          <w:sz w:val="22"/>
          <w:szCs w:val="22"/>
        </w:rPr>
        <w:t xml:space="preserve">assigned to the LSE in an </w:t>
      </w:r>
      <w:r w:rsidR="007C0098">
        <w:rPr>
          <w:rFonts w:ascii="Calibri" w:eastAsia="Calibri" w:hAnsi="Calibri" w:cs="Calibri"/>
          <w:i/>
          <w:sz w:val="22"/>
          <w:szCs w:val="22"/>
        </w:rPr>
        <w:t>ALJ</w:t>
      </w:r>
      <w:r w:rsidR="00F737E9">
        <w:rPr>
          <w:rFonts w:ascii="Calibri" w:eastAsia="Calibri" w:hAnsi="Calibri" w:cs="Calibri"/>
          <w:i/>
          <w:sz w:val="22"/>
          <w:szCs w:val="22"/>
        </w:rPr>
        <w:t xml:space="preserve"> ruling. </w:t>
      </w:r>
    </w:p>
    <w:p w:rsidR="00AF0282" w:rsidRPr="00D6564C" w:rsidRDefault="00F737E9" w:rsidP="00916BEF">
      <w:pPr>
        <w:numPr>
          <w:ilvl w:val="0"/>
          <w:numId w:val="3"/>
        </w:numPr>
        <w:spacing w:after="120" w:line="276" w:lineRule="auto"/>
        <w:rPr>
          <w:rFonts w:asciiTheme="minorHAnsi" w:eastAsiaTheme="minorHAnsi" w:hAnsiTheme="minorHAnsi" w:cstheme="minorBidi"/>
          <w:i/>
          <w:sz w:val="22"/>
          <w:szCs w:val="22"/>
        </w:rPr>
      </w:pPr>
      <w:r>
        <w:rPr>
          <w:rFonts w:ascii="Calibri" w:eastAsia="Calibri" w:hAnsi="Calibri" w:cs="Calibri"/>
          <w:i/>
          <w:sz w:val="22"/>
          <w:szCs w:val="22"/>
        </w:rPr>
        <w:t>Use</w:t>
      </w:r>
      <w:r>
        <w:rPr>
          <w:rFonts w:ascii="Calibri" w:eastAsia="Calibri" w:hAnsi="Calibri" w:cs="Calibri"/>
          <w:i/>
          <w:spacing w:val="1"/>
          <w:sz w:val="22"/>
          <w:szCs w:val="22"/>
        </w:rPr>
        <w:t xml:space="preserve"> </w:t>
      </w:r>
      <w:r>
        <w:rPr>
          <w:rFonts w:ascii="Calibri" w:eastAsia="Calibri" w:hAnsi="Calibri" w:cs="Calibri"/>
          <w:i/>
          <w:sz w:val="22"/>
          <w:szCs w:val="22"/>
        </w:rPr>
        <w:t>of i</w:t>
      </w:r>
      <w:r>
        <w:rPr>
          <w:rFonts w:ascii="Calibri" w:eastAsia="Calibri" w:hAnsi="Calibri" w:cs="Calibri"/>
          <w:i/>
          <w:spacing w:val="-1"/>
          <w:sz w:val="22"/>
          <w:szCs w:val="22"/>
        </w:rPr>
        <w:t>npu</w:t>
      </w:r>
      <w:r>
        <w:rPr>
          <w:rFonts w:ascii="Calibri" w:eastAsia="Calibri" w:hAnsi="Calibri" w:cs="Calibri"/>
          <w:i/>
          <w:sz w:val="22"/>
          <w:szCs w:val="22"/>
        </w:rPr>
        <w:t>ts and</w:t>
      </w:r>
      <w:r>
        <w:rPr>
          <w:rFonts w:ascii="Calibri" w:eastAsia="Calibri" w:hAnsi="Calibri" w:cs="Calibri"/>
          <w:i/>
          <w:spacing w:val="1"/>
          <w:sz w:val="22"/>
          <w:szCs w:val="22"/>
        </w:rPr>
        <w:t xml:space="preserve"> </w:t>
      </w:r>
      <w:r>
        <w:rPr>
          <w:rFonts w:ascii="Calibri" w:eastAsia="Calibri" w:hAnsi="Calibri" w:cs="Calibri"/>
          <w:i/>
          <w:spacing w:val="-3"/>
          <w:sz w:val="22"/>
          <w:szCs w:val="22"/>
        </w:rPr>
        <w:t>a</w:t>
      </w:r>
      <w:r>
        <w:rPr>
          <w:rFonts w:ascii="Calibri" w:eastAsia="Calibri" w:hAnsi="Calibri" w:cs="Calibri"/>
          <w:i/>
          <w:sz w:val="22"/>
          <w:szCs w:val="22"/>
        </w:rPr>
        <w:t>s</w:t>
      </w:r>
      <w:r>
        <w:rPr>
          <w:rFonts w:ascii="Calibri" w:eastAsia="Calibri" w:hAnsi="Calibri" w:cs="Calibri"/>
          <w:i/>
          <w:spacing w:val="1"/>
          <w:sz w:val="22"/>
          <w:szCs w:val="22"/>
        </w:rPr>
        <w:t>s</w:t>
      </w:r>
      <w:r>
        <w:rPr>
          <w:rFonts w:ascii="Calibri" w:eastAsia="Calibri" w:hAnsi="Calibri" w:cs="Calibri"/>
          <w:i/>
          <w:spacing w:val="-1"/>
          <w:sz w:val="22"/>
          <w:szCs w:val="22"/>
        </w:rPr>
        <w:t>u</w:t>
      </w:r>
      <w:r>
        <w:rPr>
          <w:rFonts w:ascii="Calibri" w:eastAsia="Calibri" w:hAnsi="Calibri" w:cs="Calibri"/>
          <w:i/>
          <w:sz w:val="22"/>
          <w:szCs w:val="22"/>
        </w:rPr>
        <w:t>mptio</w:t>
      </w:r>
      <w:r>
        <w:rPr>
          <w:rFonts w:ascii="Calibri" w:eastAsia="Calibri" w:hAnsi="Calibri" w:cs="Calibri"/>
          <w:i/>
          <w:spacing w:val="-4"/>
          <w:sz w:val="22"/>
          <w:szCs w:val="22"/>
        </w:rPr>
        <w:t>n</w:t>
      </w:r>
      <w:r>
        <w:rPr>
          <w:rFonts w:ascii="Calibri" w:eastAsia="Calibri" w:hAnsi="Calibri" w:cs="Calibri"/>
          <w:i/>
          <w:sz w:val="22"/>
          <w:szCs w:val="22"/>
        </w:rPr>
        <w:t>s</w:t>
      </w:r>
      <w:r>
        <w:rPr>
          <w:rFonts w:ascii="Calibri" w:eastAsia="Calibri" w:hAnsi="Calibri" w:cs="Calibri"/>
          <w:i/>
          <w:spacing w:val="-1"/>
          <w:sz w:val="22"/>
          <w:szCs w:val="22"/>
        </w:rPr>
        <w:t xml:space="preserve"> </w:t>
      </w:r>
      <w:r w:rsidRPr="005305CE">
        <w:rPr>
          <w:rFonts w:ascii="Calibri" w:eastAsia="Calibri" w:hAnsi="Calibri" w:cs="Calibri"/>
          <w:i/>
          <w:sz w:val="22"/>
          <w:szCs w:val="22"/>
        </w:rPr>
        <w:t xml:space="preserve">(e.g., baseline generating fleet, candidate resource cost assumptions, </w:t>
      </w:r>
      <w:r w:rsidR="00CE3442">
        <w:rPr>
          <w:rFonts w:ascii="Calibri" w:eastAsia="Calibri" w:hAnsi="Calibri" w:cs="Calibri"/>
          <w:i/>
          <w:sz w:val="22"/>
          <w:szCs w:val="22"/>
        </w:rPr>
        <w:t xml:space="preserve">financial assumptions, </w:t>
      </w:r>
      <w:r w:rsidRPr="005305CE">
        <w:rPr>
          <w:rFonts w:ascii="Calibri" w:eastAsia="Calibri" w:hAnsi="Calibri" w:cs="Calibri"/>
          <w:i/>
          <w:sz w:val="22"/>
          <w:szCs w:val="22"/>
        </w:rPr>
        <w:t>etc.)</w:t>
      </w:r>
      <w:r>
        <w:rPr>
          <w:rFonts w:ascii="Calibri" w:eastAsia="Calibri" w:hAnsi="Calibri" w:cs="Calibri"/>
          <w:i/>
          <w:sz w:val="22"/>
          <w:szCs w:val="22"/>
        </w:rPr>
        <w:t xml:space="preserve"> matc</w:t>
      </w:r>
      <w:r>
        <w:rPr>
          <w:rFonts w:ascii="Calibri" w:eastAsia="Calibri" w:hAnsi="Calibri" w:cs="Calibri"/>
          <w:i/>
          <w:spacing w:val="-1"/>
          <w:sz w:val="22"/>
          <w:szCs w:val="22"/>
        </w:rPr>
        <w:t>h</w:t>
      </w:r>
      <w:r>
        <w:rPr>
          <w:rFonts w:ascii="Calibri" w:eastAsia="Calibri" w:hAnsi="Calibri" w:cs="Calibri"/>
          <w:i/>
          <w:sz w:val="22"/>
          <w:szCs w:val="22"/>
        </w:rPr>
        <w:t>i</w:t>
      </w:r>
      <w:r>
        <w:rPr>
          <w:rFonts w:ascii="Calibri" w:eastAsia="Calibri" w:hAnsi="Calibri" w:cs="Calibri"/>
          <w:i/>
          <w:spacing w:val="-1"/>
          <w:sz w:val="22"/>
          <w:szCs w:val="22"/>
        </w:rPr>
        <w:t>n</w:t>
      </w:r>
      <w:r>
        <w:rPr>
          <w:rFonts w:ascii="Calibri" w:eastAsia="Calibri" w:hAnsi="Calibri" w:cs="Calibri"/>
          <w:i/>
          <w:sz w:val="22"/>
          <w:szCs w:val="22"/>
        </w:rPr>
        <w:t>g</w:t>
      </w:r>
      <w:r>
        <w:rPr>
          <w:rFonts w:ascii="Calibri" w:eastAsia="Calibri" w:hAnsi="Calibri" w:cs="Calibri"/>
          <w:i/>
          <w:spacing w:val="-1"/>
          <w:sz w:val="22"/>
          <w:szCs w:val="22"/>
        </w:rPr>
        <w:t xml:space="preserve"> </w:t>
      </w:r>
      <w:r>
        <w:rPr>
          <w:rFonts w:ascii="Calibri" w:eastAsia="Calibri" w:hAnsi="Calibri" w:cs="Calibri"/>
          <w:i/>
          <w:spacing w:val="1"/>
          <w:sz w:val="22"/>
          <w:szCs w:val="22"/>
        </w:rPr>
        <w:t>t</w:t>
      </w:r>
      <w:r>
        <w:rPr>
          <w:rFonts w:ascii="Calibri" w:eastAsia="Calibri" w:hAnsi="Calibri" w:cs="Calibri"/>
          <w:i/>
          <w:spacing w:val="-1"/>
          <w:sz w:val="22"/>
          <w:szCs w:val="22"/>
        </w:rPr>
        <w:t>h</w:t>
      </w:r>
      <w:r>
        <w:rPr>
          <w:rFonts w:ascii="Calibri" w:eastAsia="Calibri" w:hAnsi="Calibri" w:cs="Calibri"/>
          <w:i/>
          <w:sz w:val="22"/>
          <w:szCs w:val="22"/>
        </w:rPr>
        <w:t>ose u</w:t>
      </w:r>
      <w:r>
        <w:rPr>
          <w:rFonts w:ascii="Calibri" w:eastAsia="Calibri" w:hAnsi="Calibri" w:cs="Calibri"/>
          <w:i/>
          <w:spacing w:val="-2"/>
          <w:sz w:val="22"/>
          <w:szCs w:val="22"/>
        </w:rPr>
        <w:t>s</w:t>
      </w:r>
      <w:r>
        <w:rPr>
          <w:rFonts w:ascii="Calibri" w:eastAsia="Calibri" w:hAnsi="Calibri" w:cs="Calibri"/>
          <w:i/>
          <w:sz w:val="22"/>
          <w:szCs w:val="22"/>
        </w:rPr>
        <w:t>ed in</w:t>
      </w:r>
      <w:r>
        <w:rPr>
          <w:rFonts w:ascii="Calibri" w:eastAsia="Calibri" w:hAnsi="Calibri" w:cs="Calibri"/>
          <w:i/>
          <w:spacing w:val="-1"/>
          <w:sz w:val="22"/>
          <w:szCs w:val="22"/>
        </w:rPr>
        <w:t xml:space="preserve"> </w:t>
      </w:r>
      <w:r>
        <w:rPr>
          <w:rFonts w:ascii="Calibri" w:eastAsia="Calibri" w:hAnsi="Calibri" w:cs="Calibri"/>
          <w:i/>
          <w:sz w:val="22"/>
          <w:szCs w:val="22"/>
        </w:rPr>
        <w:t>de</w:t>
      </w:r>
      <w:r>
        <w:rPr>
          <w:rFonts w:ascii="Calibri" w:eastAsia="Calibri" w:hAnsi="Calibri" w:cs="Calibri"/>
          <w:i/>
          <w:spacing w:val="-3"/>
          <w:sz w:val="22"/>
          <w:szCs w:val="22"/>
        </w:rPr>
        <w:t>v</w:t>
      </w:r>
      <w:r>
        <w:rPr>
          <w:rFonts w:ascii="Calibri" w:eastAsia="Calibri" w:hAnsi="Calibri" w:cs="Calibri"/>
          <w:i/>
          <w:sz w:val="22"/>
          <w:szCs w:val="22"/>
        </w:rPr>
        <w:t>el</w:t>
      </w:r>
      <w:r>
        <w:rPr>
          <w:rFonts w:ascii="Calibri" w:eastAsia="Calibri" w:hAnsi="Calibri" w:cs="Calibri"/>
          <w:i/>
          <w:spacing w:val="-1"/>
          <w:sz w:val="22"/>
          <w:szCs w:val="22"/>
        </w:rPr>
        <w:t>op</w:t>
      </w:r>
      <w:r>
        <w:rPr>
          <w:rFonts w:ascii="Calibri" w:eastAsia="Calibri" w:hAnsi="Calibri" w:cs="Calibri"/>
          <w:i/>
          <w:sz w:val="22"/>
          <w:szCs w:val="22"/>
        </w:rPr>
        <w:t>i</w:t>
      </w:r>
      <w:r>
        <w:rPr>
          <w:rFonts w:ascii="Calibri" w:eastAsia="Calibri" w:hAnsi="Calibri" w:cs="Calibri"/>
          <w:i/>
          <w:spacing w:val="-1"/>
          <w:sz w:val="22"/>
          <w:szCs w:val="22"/>
        </w:rPr>
        <w:t>n</w:t>
      </w:r>
      <w:r>
        <w:rPr>
          <w:rFonts w:ascii="Calibri" w:eastAsia="Calibri" w:hAnsi="Calibri" w:cs="Calibri"/>
          <w:i/>
          <w:sz w:val="22"/>
          <w:szCs w:val="22"/>
        </w:rPr>
        <w:t>g</w:t>
      </w:r>
      <w:r>
        <w:rPr>
          <w:rFonts w:ascii="Calibri" w:eastAsia="Calibri" w:hAnsi="Calibri" w:cs="Calibri"/>
          <w:i/>
          <w:spacing w:val="-1"/>
          <w:sz w:val="22"/>
          <w:szCs w:val="22"/>
        </w:rPr>
        <w:t xml:space="preserve"> </w:t>
      </w:r>
      <w:r>
        <w:rPr>
          <w:rFonts w:ascii="Calibri" w:eastAsia="Calibri" w:hAnsi="Calibri" w:cs="Calibri"/>
          <w:i/>
          <w:spacing w:val="1"/>
          <w:sz w:val="22"/>
          <w:szCs w:val="22"/>
        </w:rPr>
        <w:t>t</w:t>
      </w:r>
      <w:r>
        <w:rPr>
          <w:rFonts w:ascii="Calibri" w:eastAsia="Calibri" w:hAnsi="Calibri" w:cs="Calibri"/>
          <w:i/>
          <w:spacing w:val="-1"/>
          <w:sz w:val="22"/>
          <w:szCs w:val="22"/>
        </w:rPr>
        <w:t>h</w:t>
      </w:r>
      <w:r>
        <w:rPr>
          <w:rFonts w:ascii="Calibri" w:eastAsia="Calibri" w:hAnsi="Calibri" w:cs="Calibri"/>
          <w:i/>
          <w:sz w:val="22"/>
          <w:szCs w:val="22"/>
        </w:rPr>
        <w:t>e Ref</w:t>
      </w:r>
      <w:r>
        <w:rPr>
          <w:rFonts w:ascii="Calibri" w:eastAsia="Calibri" w:hAnsi="Calibri" w:cs="Calibri"/>
          <w:i/>
          <w:spacing w:val="-2"/>
          <w:sz w:val="22"/>
          <w:szCs w:val="22"/>
        </w:rPr>
        <w:t>e</w:t>
      </w:r>
      <w:r>
        <w:rPr>
          <w:rFonts w:ascii="Calibri" w:eastAsia="Calibri" w:hAnsi="Calibri" w:cs="Calibri"/>
          <w:i/>
          <w:spacing w:val="1"/>
          <w:sz w:val="22"/>
          <w:szCs w:val="22"/>
        </w:rPr>
        <w:t>r</w:t>
      </w:r>
      <w:r>
        <w:rPr>
          <w:rFonts w:ascii="Calibri" w:eastAsia="Calibri" w:hAnsi="Calibri" w:cs="Calibri"/>
          <w:i/>
          <w:sz w:val="22"/>
          <w:szCs w:val="22"/>
        </w:rPr>
        <w:t>en</w:t>
      </w:r>
      <w:r>
        <w:rPr>
          <w:rFonts w:ascii="Calibri" w:eastAsia="Calibri" w:hAnsi="Calibri" w:cs="Calibri"/>
          <w:i/>
          <w:spacing w:val="-1"/>
          <w:sz w:val="22"/>
          <w:szCs w:val="22"/>
        </w:rPr>
        <w:t>c</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pacing w:val="1"/>
          <w:sz w:val="22"/>
          <w:szCs w:val="22"/>
        </w:rPr>
        <w:t>S</w:t>
      </w:r>
      <w:r>
        <w:rPr>
          <w:rFonts w:ascii="Calibri" w:eastAsia="Calibri" w:hAnsi="Calibri" w:cs="Calibri"/>
          <w:i/>
          <w:sz w:val="22"/>
          <w:szCs w:val="22"/>
        </w:rPr>
        <w:t>y</w:t>
      </w:r>
      <w:r>
        <w:rPr>
          <w:rFonts w:ascii="Calibri" w:eastAsia="Calibri" w:hAnsi="Calibri" w:cs="Calibri"/>
          <w:i/>
          <w:spacing w:val="-2"/>
          <w:sz w:val="22"/>
          <w:szCs w:val="22"/>
        </w:rPr>
        <w:t>s</w:t>
      </w:r>
      <w:r>
        <w:rPr>
          <w:rFonts w:ascii="Calibri" w:eastAsia="Calibri" w:hAnsi="Calibri" w:cs="Calibri"/>
          <w:i/>
          <w:sz w:val="22"/>
          <w:szCs w:val="22"/>
        </w:rPr>
        <w:t>t</w:t>
      </w:r>
      <w:r>
        <w:rPr>
          <w:rFonts w:ascii="Calibri" w:eastAsia="Calibri" w:hAnsi="Calibri" w:cs="Calibri"/>
          <w:i/>
          <w:spacing w:val="-2"/>
          <w:sz w:val="22"/>
          <w:szCs w:val="22"/>
        </w:rPr>
        <w:t>e</w:t>
      </w:r>
      <w:r>
        <w:rPr>
          <w:rFonts w:ascii="Calibri" w:eastAsia="Calibri" w:hAnsi="Calibri" w:cs="Calibri"/>
          <w:i/>
          <w:sz w:val="22"/>
          <w:szCs w:val="22"/>
        </w:rPr>
        <w:t>m</w:t>
      </w:r>
      <w:r>
        <w:rPr>
          <w:rFonts w:ascii="Calibri" w:eastAsia="Calibri" w:hAnsi="Calibri" w:cs="Calibri"/>
          <w:i/>
          <w:spacing w:val="1"/>
          <w:sz w:val="22"/>
          <w:szCs w:val="22"/>
        </w:rPr>
        <w:t xml:space="preserve"> P</w:t>
      </w:r>
      <w:r>
        <w:rPr>
          <w:rFonts w:ascii="Calibri" w:eastAsia="Calibri" w:hAnsi="Calibri" w:cs="Calibri"/>
          <w:i/>
          <w:spacing w:val="-3"/>
          <w:sz w:val="22"/>
          <w:szCs w:val="22"/>
        </w:rPr>
        <w:t>o</w:t>
      </w:r>
      <w:r>
        <w:rPr>
          <w:rFonts w:ascii="Calibri" w:eastAsia="Calibri" w:hAnsi="Calibri" w:cs="Calibri"/>
          <w:i/>
          <w:spacing w:val="1"/>
          <w:sz w:val="22"/>
          <w:szCs w:val="22"/>
        </w:rPr>
        <w:t>r</w:t>
      </w:r>
      <w:r>
        <w:rPr>
          <w:rFonts w:ascii="Calibri" w:eastAsia="Calibri" w:hAnsi="Calibri" w:cs="Calibri"/>
          <w:i/>
          <w:sz w:val="22"/>
          <w:szCs w:val="22"/>
        </w:rPr>
        <w:t>tfol</w:t>
      </w:r>
      <w:r>
        <w:rPr>
          <w:rFonts w:ascii="Calibri" w:eastAsia="Calibri" w:hAnsi="Calibri" w:cs="Calibri"/>
          <w:i/>
          <w:spacing w:val="-1"/>
          <w:sz w:val="22"/>
          <w:szCs w:val="22"/>
        </w:rPr>
        <w:t>i</w:t>
      </w:r>
      <w:r>
        <w:rPr>
          <w:rFonts w:ascii="Calibri" w:eastAsia="Calibri" w:hAnsi="Calibri" w:cs="Calibri"/>
          <w:i/>
          <w:sz w:val="22"/>
          <w:szCs w:val="22"/>
        </w:rPr>
        <w:t xml:space="preserve">o, with </w:t>
      </w:r>
      <w:r>
        <w:rPr>
          <w:rFonts w:ascii="Calibri" w:eastAsia="Calibri" w:hAnsi="Calibri" w:cs="Calibri"/>
          <w:i/>
          <w:spacing w:val="1"/>
          <w:sz w:val="22"/>
          <w:szCs w:val="22"/>
        </w:rPr>
        <w:t>t</w:t>
      </w:r>
      <w:r>
        <w:rPr>
          <w:rFonts w:ascii="Calibri" w:eastAsia="Calibri" w:hAnsi="Calibri" w:cs="Calibri"/>
          <w:i/>
          <w:spacing w:val="-1"/>
          <w:sz w:val="22"/>
          <w:szCs w:val="22"/>
        </w:rPr>
        <w:t>h</w:t>
      </w:r>
      <w:r>
        <w:rPr>
          <w:rFonts w:ascii="Calibri" w:eastAsia="Calibri" w:hAnsi="Calibri" w:cs="Calibri"/>
          <w:i/>
          <w:sz w:val="22"/>
          <w:szCs w:val="22"/>
        </w:rPr>
        <w:t>e</w:t>
      </w:r>
      <w:r>
        <w:rPr>
          <w:rFonts w:ascii="Calibri" w:eastAsia="Calibri" w:hAnsi="Calibri" w:cs="Calibri"/>
          <w:i/>
          <w:spacing w:val="-2"/>
          <w:sz w:val="22"/>
          <w:szCs w:val="22"/>
        </w:rPr>
        <w:t xml:space="preserve"> </w:t>
      </w:r>
      <w:r>
        <w:rPr>
          <w:rFonts w:ascii="Calibri" w:eastAsia="Calibri" w:hAnsi="Calibri" w:cs="Calibri"/>
          <w:i/>
          <w:sz w:val="22"/>
          <w:szCs w:val="22"/>
        </w:rPr>
        <w:t>fol</w:t>
      </w:r>
      <w:r>
        <w:rPr>
          <w:rFonts w:ascii="Calibri" w:eastAsia="Calibri" w:hAnsi="Calibri" w:cs="Calibri"/>
          <w:i/>
          <w:spacing w:val="-1"/>
          <w:sz w:val="22"/>
          <w:szCs w:val="22"/>
        </w:rPr>
        <w:t>l</w:t>
      </w:r>
      <w:r>
        <w:rPr>
          <w:rFonts w:ascii="Calibri" w:eastAsia="Calibri" w:hAnsi="Calibri" w:cs="Calibri"/>
          <w:i/>
          <w:sz w:val="22"/>
          <w:szCs w:val="22"/>
        </w:rPr>
        <w:t>owi</w:t>
      </w:r>
      <w:r>
        <w:rPr>
          <w:rFonts w:ascii="Calibri" w:eastAsia="Calibri" w:hAnsi="Calibri" w:cs="Calibri"/>
          <w:i/>
          <w:spacing w:val="-1"/>
          <w:sz w:val="22"/>
          <w:szCs w:val="22"/>
        </w:rPr>
        <w:t>n</w:t>
      </w:r>
      <w:r>
        <w:rPr>
          <w:rFonts w:ascii="Calibri" w:eastAsia="Calibri" w:hAnsi="Calibri" w:cs="Calibri"/>
          <w:i/>
          <w:sz w:val="22"/>
          <w:szCs w:val="22"/>
        </w:rPr>
        <w:t>g</w:t>
      </w:r>
      <w:r>
        <w:rPr>
          <w:rFonts w:ascii="Calibri" w:eastAsia="Calibri" w:hAnsi="Calibri" w:cs="Calibri"/>
          <w:i/>
          <w:spacing w:val="-1"/>
          <w:sz w:val="22"/>
          <w:szCs w:val="22"/>
        </w:rPr>
        <w:t xml:space="preserve"> </w:t>
      </w:r>
      <w:r>
        <w:rPr>
          <w:rFonts w:ascii="Calibri" w:eastAsia="Calibri" w:hAnsi="Calibri" w:cs="Calibri"/>
          <w:i/>
          <w:sz w:val="22"/>
          <w:szCs w:val="22"/>
        </w:rPr>
        <w:t>e</w:t>
      </w:r>
      <w:r>
        <w:rPr>
          <w:rFonts w:ascii="Calibri" w:eastAsia="Calibri" w:hAnsi="Calibri" w:cs="Calibri"/>
          <w:i/>
          <w:spacing w:val="1"/>
          <w:sz w:val="22"/>
          <w:szCs w:val="22"/>
        </w:rPr>
        <w:t>x</w:t>
      </w:r>
      <w:r>
        <w:rPr>
          <w:rFonts w:ascii="Calibri" w:eastAsia="Calibri" w:hAnsi="Calibri" w:cs="Calibri"/>
          <w:i/>
          <w:sz w:val="22"/>
          <w:szCs w:val="22"/>
        </w:rPr>
        <w:t>ce</w:t>
      </w:r>
      <w:r>
        <w:rPr>
          <w:rFonts w:ascii="Calibri" w:eastAsia="Calibri" w:hAnsi="Calibri" w:cs="Calibri"/>
          <w:i/>
          <w:spacing w:val="-4"/>
          <w:sz w:val="22"/>
          <w:szCs w:val="22"/>
        </w:rPr>
        <w:t>p</w:t>
      </w:r>
      <w:r>
        <w:rPr>
          <w:rFonts w:ascii="Calibri" w:eastAsia="Calibri" w:hAnsi="Calibri" w:cs="Calibri"/>
          <w:i/>
          <w:sz w:val="22"/>
          <w:szCs w:val="22"/>
        </w:rPr>
        <w:t>tio</w:t>
      </w:r>
      <w:r>
        <w:rPr>
          <w:rFonts w:ascii="Calibri" w:eastAsia="Calibri" w:hAnsi="Calibri" w:cs="Calibri"/>
          <w:i/>
          <w:spacing w:val="-1"/>
          <w:sz w:val="22"/>
          <w:szCs w:val="22"/>
        </w:rPr>
        <w:t>n</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pacing w:val="-1"/>
          <w:sz w:val="22"/>
          <w:szCs w:val="22"/>
        </w:rPr>
        <w:t>ba</w:t>
      </w:r>
      <w:r>
        <w:rPr>
          <w:rFonts w:ascii="Calibri" w:eastAsia="Calibri" w:hAnsi="Calibri" w:cs="Calibri"/>
          <w:i/>
          <w:sz w:val="22"/>
          <w:szCs w:val="22"/>
        </w:rPr>
        <w:t>sed on</w:t>
      </w:r>
      <w:r>
        <w:rPr>
          <w:rFonts w:ascii="Calibri" w:eastAsia="Calibri" w:hAnsi="Calibri" w:cs="Calibri"/>
          <w:i/>
          <w:spacing w:val="-1"/>
          <w:sz w:val="22"/>
          <w:szCs w:val="22"/>
        </w:rPr>
        <w:t xml:space="preserve"> </w:t>
      </w:r>
      <w:r>
        <w:rPr>
          <w:rFonts w:ascii="Calibri" w:eastAsia="Calibri" w:hAnsi="Calibri" w:cs="Calibri"/>
          <w:i/>
          <w:sz w:val="22"/>
          <w:szCs w:val="22"/>
        </w:rPr>
        <w:t>u</w:t>
      </w:r>
      <w:r>
        <w:rPr>
          <w:rFonts w:ascii="Calibri" w:eastAsia="Calibri" w:hAnsi="Calibri" w:cs="Calibri"/>
          <w:i/>
          <w:spacing w:val="-1"/>
          <w:sz w:val="22"/>
          <w:szCs w:val="22"/>
        </w:rPr>
        <w:t>pda</w:t>
      </w:r>
      <w:r>
        <w:rPr>
          <w:rFonts w:ascii="Calibri" w:eastAsia="Calibri" w:hAnsi="Calibri" w:cs="Calibri"/>
          <w:i/>
          <w:sz w:val="22"/>
          <w:szCs w:val="22"/>
        </w:rPr>
        <w:t>ted i</w:t>
      </w:r>
      <w:r>
        <w:rPr>
          <w:rFonts w:ascii="Calibri" w:eastAsia="Calibri" w:hAnsi="Calibri" w:cs="Calibri"/>
          <w:i/>
          <w:spacing w:val="-1"/>
          <w:sz w:val="22"/>
          <w:szCs w:val="22"/>
        </w:rPr>
        <w:t>n</w:t>
      </w:r>
      <w:r>
        <w:rPr>
          <w:rFonts w:ascii="Calibri" w:eastAsia="Calibri" w:hAnsi="Calibri" w:cs="Calibri"/>
          <w:i/>
          <w:sz w:val="22"/>
          <w:szCs w:val="22"/>
        </w:rPr>
        <w:t>fo</w:t>
      </w:r>
      <w:r>
        <w:rPr>
          <w:rFonts w:ascii="Calibri" w:eastAsia="Calibri" w:hAnsi="Calibri" w:cs="Calibri"/>
          <w:i/>
          <w:spacing w:val="-2"/>
          <w:sz w:val="22"/>
          <w:szCs w:val="22"/>
        </w:rPr>
        <w:t>r</w:t>
      </w:r>
      <w:r>
        <w:rPr>
          <w:rFonts w:ascii="Calibri" w:eastAsia="Calibri" w:hAnsi="Calibri" w:cs="Calibri"/>
          <w:i/>
          <w:sz w:val="22"/>
          <w:szCs w:val="22"/>
        </w:rPr>
        <w:t>matio</w:t>
      </w:r>
      <w:r>
        <w:rPr>
          <w:rFonts w:ascii="Calibri" w:eastAsia="Calibri" w:hAnsi="Calibri" w:cs="Calibri"/>
          <w:i/>
          <w:spacing w:val="-1"/>
          <w:sz w:val="22"/>
          <w:szCs w:val="22"/>
        </w:rPr>
        <w:t>n</w:t>
      </w:r>
      <w:r>
        <w:rPr>
          <w:rFonts w:ascii="Calibri" w:eastAsia="Calibri" w:hAnsi="Calibri" w:cs="Calibri"/>
          <w:i/>
          <w:sz w:val="22"/>
          <w:szCs w:val="22"/>
        </w:rPr>
        <w:t>:</w:t>
      </w:r>
    </w:p>
    <w:p w:rsidR="00AF0282" w:rsidRPr="00D6564C" w:rsidRDefault="00F737E9" w:rsidP="00916BEF">
      <w:pPr>
        <w:numPr>
          <w:ilvl w:val="1"/>
          <w:numId w:val="3"/>
        </w:numPr>
        <w:spacing w:after="120" w:line="276" w:lineRule="auto"/>
        <w:rPr>
          <w:rFonts w:asciiTheme="minorHAnsi" w:eastAsiaTheme="minorHAnsi" w:hAnsiTheme="minorHAnsi" w:cstheme="minorBidi"/>
          <w:i/>
          <w:sz w:val="22"/>
          <w:szCs w:val="22"/>
        </w:rPr>
      </w:pPr>
      <w:r>
        <w:rPr>
          <w:rFonts w:ascii="Calibri" w:eastAsia="Calibri" w:hAnsi="Calibri" w:cs="Calibri"/>
          <w:i/>
          <w:spacing w:val="1"/>
          <w:position w:val="1"/>
          <w:sz w:val="22"/>
          <w:szCs w:val="22"/>
        </w:rPr>
        <w:lastRenderedPageBreak/>
        <w:t>L</w:t>
      </w:r>
      <w:r>
        <w:rPr>
          <w:rFonts w:ascii="Calibri" w:eastAsia="Calibri" w:hAnsi="Calibri" w:cs="Calibri"/>
          <w:i/>
          <w:spacing w:val="-1"/>
          <w:position w:val="1"/>
          <w:sz w:val="22"/>
          <w:szCs w:val="22"/>
        </w:rPr>
        <w:t>S</w:t>
      </w:r>
      <w:r>
        <w:rPr>
          <w:rFonts w:ascii="Calibri" w:eastAsia="Calibri" w:hAnsi="Calibri" w:cs="Calibri"/>
          <w:i/>
          <w:position w:val="1"/>
          <w:sz w:val="22"/>
          <w:szCs w:val="22"/>
        </w:rPr>
        <w:t>Es</w:t>
      </w:r>
      <w:r>
        <w:rPr>
          <w:rFonts w:ascii="Calibri" w:eastAsia="Calibri" w:hAnsi="Calibri" w:cs="Calibri"/>
          <w:i/>
          <w:spacing w:val="1"/>
          <w:position w:val="1"/>
          <w:sz w:val="22"/>
          <w:szCs w:val="22"/>
        </w:rPr>
        <w:t xml:space="preserve"> s</w:t>
      </w:r>
      <w:r>
        <w:rPr>
          <w:rFonts w:ascii="Calibri" w:eastAsia="Calibri" w:hAnsi="Calibri" w:cs="Calibri"/>
          <w:i/>
          <w:spacing w:val="-1"/>
          <w:position w:val="1"/>
          <w:sz w:val="22"/>
          <w:szCs w:val="22"/>
        </w:rPr>
        <w:t>ha</w:t>
      </w:r>
      <w:r>
        <w:rPr>
          <w:rFonts w:ascii="Calibri" w:eastAsia="Calibri" w:hAnsi="Calibri" w:cs="Calibri"/>
          <w:i/>
          <w:position w:val="1"/>
          <w:sz w:val="22"/>
          <w:szCs w:val="22"/>
        </w:rPr>
        <w:t xml:space="preserve">ll </w:t>
      </w:r>
      <w:r>
        <w:rPr>
          <w:rFonts w:ascii="Calibri" w:eastAsia="Calibri" w:hAnsi="Calibri" w:cs="Calibri"/>
          <w:i/>
          <w:spacing w:val="-3"/>
          <w:position w:val="1"/>
          <w:sz w:val="22"/>
          <w:szCs w:val="22"/>
        </w:rPr>
        <w:t>align with</w:t>
      </w:r>
      <w:r>
        <w:rPr>
          <w:rFonts w:ascii="Calibri" w:eastAsia="Calibri" w:hAnsi="Calibri" w:cs="Calibri"/>
          <w:i/>
          <w:spacing w:val="1"/>
          <w:position w:val="1"/>
          <w:sz w:val="22"/>
          <w:szCs w:val="22"/>
        </w:rPr>
        <w:t xml:space="preserve"> </w:t>
      </w:r>
      <w:r>
        <w:rPr>
          <w:rFonts w:ascii="Calibri" w:eastAsia="Calibri" w:hAnsi="Calibri" w:cs="Calibri"/>
          <w:i/>
          <w:position w:val="1"/>
          <w:sz w:val="22"/>
          <w:szCs w:val="22"/>
        </w:rPr>
        <w:t>the</w:t>
      </w:r>
      <w:r>
        <w:rPr>
          <w:rFonts w:ascii="Calibri" w:eastAsia="Calibri" w:hAnsi="Calibri" w:cs="Calibri"/>
          <w:i/>
          <w:spacing w:val="-2"/>
          <w:position w:val="1"/>
          <w:sz w:val="22"/>
          <w:szCs w:val="22"/>
        </w:rPr>
        <w:t xml:space="preserve"> </w:t>
      </w:r>
      <w:r>
        <w:rPr>
          <w:rFonts w:ascii="Calibri" w:eastAsia="Calibri" w:hAnsi="Calibri" w:cs="Calibri"/>
          <w:i/>
          <w:position w:val="1"/>
          <w:sz w:val="22"/>
          <w:szCs w:val="22"/>
        </w:rPr>
        <w:t>lo</w:t>
      </w:r>
      <w:r>
        <w:rPr>
          <w:rFonts w:ascii="Calibri" w:eastAsia="Calibri" w:hAnsi="Calibri" w:cs="Calibri"/>
          <w:i/>
          <w:spacing w:val="-1"/>
          <w:position w:val="1"/>
          <w:sz w:val="22"/>
          <w:szCs w:val="22"/>
        </w:rPr>
        <w:t>a</w:t>
      </w:r>
      <w:r>
        <w:rPr>
          <w:rFonts w:ascii="Calibri" w:eastAsia="Calibri" w:hAnsi="Calibri" w:cs="Calibri"/>
          <w:i/>
          <w:position w:val="1"/>
          <w:sz w:val="22"/>
          <w:szCs w:val="22"/>
        </w:rPr>
        <w:t>d</w:t>
      </w:r>
      <w:r>
        <w:rPr>
          <w:rFonts w:ascii="Calibri" w:eastAsia="Calibri" w:hAnsi="Calibri" w:cs="Calibri"/>
          <w:i/>
          <w:spacing w:val="-1"/>
          <w:position w:val="1"/>
          <w:sz w:val="22"/>
          <w:szCs w:val="22"/>
        </w:rPr>
        <w:t xml:space="preserve"> </w:t>
      </w:r>
      <w:r>
        <w:rPr>
          <w:rFonts w:ascii="Calibri" w:eastAsia="Calibri" w:hAnsi="Calibri" w:cs="Calibri"/>
          <w:i/>
          <w:position w:val="1"/>
          <w:sz w:val="22"/>
          <w:szCs w:val="22"/>
        </w:rPr>
        <w:t>as</w:t>
      </w:r>
      <w:r>
        <w:rPr>
          <w:rFonts w:ascii="Calibri" w:eastAsia="Calibri" w:hAnsi="Calibri" w:cs="Calibri"/>
          <w:i/>
          <w:spacing w:val="1"/>
          <w:position w:val="1"/>
          <w:sz w:val="22"/>
          <w:szCs w:val="22"/>
        </w:rPr>
        <w:t>s</w:t>
      </w:r>
      <w:r>
        <w:rPr>
          <w:rFonts w:ascii="Calibri" w:eastAsia="Calibri" w:hAnsi="Calibri" w:cs="Calibri"/>
          <w:i/>
          <w:spacing w:val="-3"/>
          <w:position w:val="1"/>
          <w:sz w:val="22"/>
          <w:szCs w:val="22"/>
        </w:rPr>
        <w:t>i</w:t>
      </w:r>
      <w:r>
        <w:rPr>
          <w:rFonts w:ascii="Calibri" w:eastAsia="Calibri" w:hAnsi="Calibri" w:cs="Calibri"/>
          <w:i/>
          <w:spacing w:val="-1"/>
          <w:position w:val="1"/>
          <w:sz w:val="22"/>
          <w:szCs w:val="22"/>
        </w:rPr>
        <w:t>gn</w:t>
      </w:r>
      <w:r>
        <w:rPr>
          <w:rFonts w:ascii="Calibri" w:eastAsia="Calibri" w:hAnsi="Calibri" w:cs="Calibri"/>
          <w:i/>
          <w:position w:val="1"/>
          <w:sz w:val="22"/>
          <w:szCs w:val="22"/>
        </w:rPr>
        <w:t>ment</w:t>
      </w:r>
      <w:r>
        <w:rPr>
          <w:rFonts w:ascii="Calibri" w:eastAsia="Calibri" w:hAnsi="Calibri" w:cs="Calibri"/>
          <w:i/>
          <w:spacing w:val="1"/>
          <w:position w:val="1"/>
          <w:sz w:val="22"/>
          <w:szCs w:val="22"/>
        </w:rPr>
        <w:t xml:space="preserve"> </w:t>
      </w:r>
      <w:r>
        <w:rPr>
          <w:rFonts w:ascii="Calibri" w:eastAsia="Calibri" w:hAnsi="Calibri" w:cs="Calibri"/>
          <w:i/>
          <w:position w:val="1"/>
          <w:sz w:val="22"/>
          <w:szCs w:val="22"/>
        </w:rPr>
        <w:t>i</w:t>
      </w:r>
      <w:r>
        <w:rPr>
          <w:rFonts w:ascii="Calibri" w:eastAsia="Calibri" w:hAnsi="Calibri" w:cs="Calibri"/>
          <w:i/>
          <w:spacing w:val="-1"/>
          <w:position w:val="1"/>
          <w:sz w:val="22"/>
          <w:szCs w:val="22"/>
        </w:rPr>
        <w:t>nd</w:t>
      </w:r>
      <w:r>
        <w:rPr>
          <w:rFonts w:ascii="Calibri" w:eastAsia="Calibri" w:hAnsi="Calibri" w:cs="Calibri"/>
          <w:i/>
          <w:position w:val="1"/>
          <w:sz w:val="22"/>
          <w:szCs w:val="22"/>
        </w:rPr>
        <w:t>i</w:t>
      </w:r>
      <w:r>
        <w:rPr>
          <w:rFonts w:ascii="Calibri" w:eastAsia="Calibri" w:hAnsi="Calibri" w:cs="Calibri"/>
          <w:i/>
          <w:spacing w:val="-1"/>
          <w:position w:val="1"/>
          <w:sz w:val="22"/>
          <w:szCs w:val="22"/>
        </w:rPr>
        <w:t>ca</w:t>
      </w:r>
      <w:r>
        <w:rPr>
          <w:rFonts w:ascii="Calibri" w:eastAsia="Calibri" w:hAnsi="Calibri" w:cs="Calibri"/>
          <w:i/>
          <w:position w:val="1"/>
          <w:sz w:val="22"/>
          <w:szCs w:val="22"/>
        </w:rPr>
        <w:t>ted a</w:t>
      </w:r>
      <w:r>
        <w:rPr>
          <w:rFonts w:ascii="Calibri" w:eastAsia="Calibri" w:hAnsi="Calibri" w:cs="Calibri"/>
          <w:i/>
          <w:spacing w:val="-1"/>
          <w:position w:val="1"/>
          <w:sz w:val="22"/>
          <w:szCs w:val="22"/>
        </w:rPr>
        <w:t>b</w:t>
      </w:r>
      <w:r>
        <w:rPr>
          <w:rFonts w:ascii="Calibri" w:eastAsia="Calibri" w:hAnsi="Calibri" w:cs="Calibri"/>
          <w:i/>
          <w:position w:val="1"/>
          <w:sz w:val="22"/>
          <w:szCs w:val="22"/>
        </w:rPr>
        <w:t xml:space="preserve">ove, </w:t>
      </w:r>
      <w:r>
        <w:rPr>
          <w:rFonts w:ascii="Calibri" w:eastAsia="Calibri" w:hAnsi="Calibri" w:cs="Calibri"/>
          <w:i/>
          <w:spacing w:val="-3"/>
          <w:position w:val="1"/>
          <w:sz w:val="22"/>
          <w:szCs w:val="22"/>
        </w:rPr>
        <w:t>n</w:t>
      </w:r>
      <w:r>
        <w:rPr>
          <w:rFonts w:ascii="Calibri" w:eastAsia="Calibri" w:hAnsi="Calibri" w:cs="Calibri"/>
          <w:i/>
          <w:spacing w:val="-1"/>
          <w:position w:val="1"/>
          <w:sz w:val="22"/>
          <w:szCs w:val="22"/>
        </w:rPr>
        <w:t>a</w:t>
      </w:r>
      <w:r>
        <w:rPr>
          <w:rFonts w:ascii="Calibri" w:eastAsia="Calibri" w:hAnsi="Calibri" w:cs="Calibri"/>
          <w:i/>
          <w:position w:val="1"/>
          <w:sz w:val="22"/>
          <w:szCs w:val="22"/>
        </w:rPr>
        <w:t xml:space="preserve">mely </w:t>
      </w:r>
      <w:r>
        <w:rPr>
          <w:rFonts w:ascii="Calibri" w:eastAsia="Calibri" w:hAnsi="Calibri" w:cs="Calibri"/>
          <w:i/>
          <w:spacing w:val="1"/>
          <w:position w:val="1"/>
          <w:sz w:val="22"/>
          <w:szCs w:val="22"/>
        </w:rPr>
        <w:t>t</w:t>
      </w:r>
      <w:r>
        <w:rPr>
          <w:rFonts w:ascii="Calibri" w:eastAsia="Calibri" w:hAnsi="Calibri" w:cs="Calibri"/>
          <w:i/>
          <w:spacing w:val="-1"/>
          <w:position w:val="1"/>
          <w:sz w:val="22"/>
          <w:szCs w:val="22"/>
        </w:rPr>
        <w:t>h</w:t>
      </w:r>
      <w:r>
        <w:rPr>
          <w:rFonts w:ascii="Calibri" w:eastAsia="Calibri" w:hAnsi="Calibri" w:cs="Calibri"/>
          <w:i/>
          <w:position w:val="1"/>
          <w:sz w:val="22"/>
          <w:szCs w:val="22"/>
        </w:rPr>
        <w:t>e</w:t>
      </w:r>
      <w:r>
        <w:rPr>
          <w:rFonts w:ascii="Calibri" w:eastAsia="Calibri" w:hAnsi="Calibri" w:cs="Calibri"/>
          <w:i/>
          <w:spacing w:val="1"/>
          <w:position w:val="1"/>
          <w:sz w:val="22"/>
          <w:szCs w:val="22"/>
        </w:rPr>
        <w:t xml:space="preserve"> </w:t>
      </w:r>
      <w:r>
        <w:rPr>
          <w:rFonts w:ascii="Calibri" w:eastAsia="Calibri" w:hAnsi="Calibri" w:cs="Calibri"/>
          <w:i/>
          <w:spacing w:val="-1"/>
          <w:position w:val="1"/>
          <w:sz w:val="22"/>
          <w:szCs w:val="22"/>
        </w:rPr>
        <w:t>“</w:t>
      </w:r>
      <w:r>
        <w:rPr>
          <w:rFonts w:ascii="Calibri" w:eastAsia="Calibri" w:hAnsi="Calibri" w:cs="Calibri"/>
          <w:i/>
          <w:position w:val="1"/>
          <w:sz w:val="22"/>
          <w:szCs w:val="22"/>
        </w:rPr>
        <w:t>mid B</w:t>
      </w:r>
      <w:r>
        <w:rPr>
          <w:rFonts w:ascii="Calibri" w:eastAsia="Calibri" w:hAnsi="Calibri" w:cs="Calibri"/>
          <w:i/>
          <w:spacing w:val="-1"/>
          <w:position w:val="1"/>
          <w:sz w:val="22"/>
          <w:szCs w:val="22"/>
        </w:rPr>
        <w:t>a</w:t>
      </w:r>
      <w:r>
        <w:rPr>
          <w:rFonts w:ascii="Calibri" w:eastAsia="Calibri" w:hAnsi="Calibri" w:cs="Calibri"/>
          <w:i/>
          <w:position w:val="1"/>
          <w:sz w:val="22"/>
          <w:szCs w:val="22"/>
        </w:rPr>
        <w:t>seli</w:t>
      </w:r>
      <w:r>
        <w:rPr>
          <w:rFonts w:ascii="Calibri" w:eastAsia="Calibri" w:hAnsi="Calibri" w:cs="Calibri"/>
          <w:i/>
          <w:spacing w:val="-1"/>
          <w:position w:val="1"/>
          <w:sz w:val="22"/>
          <w:szCs w:val="22"/>
        </w:rPr>
        <w:t>n</w:t>
      </w:r>
      <w:r>
        <w:rPr>
          <w:rFonts w:ascii="Calibri" w:eastAsia="Calibri" w:hAnsi="Calibri" w:cs="Calibri"/>
          <w:i/>
          <w:position w:val="1"/>
          <w:sz w:val="22"/>
          <w:szCs w:val="22"/>
        </w:rPr>
        <w:t>e</w:t>
      </w:r>
      <w:r>
        <w:rPr>
          <w:rFonts w:ascii="Calibri" w:eastAsia="Calibri" w:hAnsi="Calibri" w:cs="Calibri"/>
          <w:i/>
          <w:spacing w:val="-1"/>
          <w:position w:val="1"/>
          <w:sz w:val="22"/>
          <w:szCs w:val="22"/>
        </w:rPr>
        <w:t xml:space="preserve"> </w:t>
      </w:r>
      <w:r>
        <w:rPr>
          <w:rFonts w:ascii="Calibri" w:eastAsia="Calibri" w:hAnsi="Calibri" w:cs="Calibri"/>
          <w:i/>
          <w:position w:val="1"/>
          <w:sz w:val="22"/>
          <w:szCs w:val="22"/>
        </w:rPr>
        <w:t>m</w:t>
      </w:r>
      <w:r>
        <w:rPr>
          <w:rFonts w:ascii="Calibri" w:eastAsia="Calibri" w:hAnsi="Calibri" w:cs="Calibri"/>
          <w:i/>
          <w:spacing w:val="-2"/>
          <w:position w:val="1"/>
          <w:sz w:val="22"/>
          <w:szCs w:val="22"/>
        </w:rPr>
        <w:t>i</w:t>
      </w:r>
      <w:r>
        <w:rPr>
          <w:rFonts w:ascii="Calibri" w:eastAsia="Calibri" w:hAnsi="Calibri" w:cs="Calibri"/>
          <w:i/>
          <w:position w:val="1"/>
          <w:sz w:val="22"/>
          <w:szCs w:val="22"/>
        </w:rPr>
        <w:t>d</w:t>
      </w:r>
      <w:r>
        <w:rPr>
          <w:rFonts w:ascii="Calibri" w:eastAsia="Calibri" w:hAnsi="Calibri" w:cs="Calibri"/>
          <w:i/>
          <w:spacing w:val="-1"/>
          <w:position w:val="1"/>
          <w:sz w:val="22"/>
          <w:szCs w:val="22"/>
        </w:rPr>
        <w:t xml:space="preserve"> </w:t>
      </w:r>
      <w:r>
        <w:rPr>
          <w:rFonts w:ascii="Calibri" w:eastAsia="Calibri" w:hAnsi="Calibri" w:cs="Calibri"/>
          <w:i/>
          <w:position w:val="1"/>
          <w:sz w:val="22"/>
          <w:szCs w:val="22"/>
        </w:rPr>
        <w:t>A</w:t>
      </w:r>
      <w:r>
        <w:rPr>
          <w:rFonts w:ascii="Calibri" w:eastAsia="Calibri" w:hAnsi="Calibri" w:cs="Calibri"/>
          <w:i/>
          <w:spacing w:val="-1"/>
          <w:position w:val="1"/>
          <w:sz w:val="22"/>
          <w:szCs w:val="22"/>
        </w:rPr>
        <w:t>A</w:t>
      </w:r>
      <w:r>
        <w:rPr>
          <w:rFonts w:ascii="Calibri" w:eastAsia="Calibri" w:hAnsi="Calibri" w:cs="Calibri"/>
          <w:i/>
          <w:position w:val="1"/>
          <w:sz w:val="22"/>
          <w:szCs w:val="22"/>
        </w:rPr>
        <w:t xml:space="preserve">EE </w:t>
      </w:r>
      <w:r>
        <w:rPr>
          <w:rFonts w:ascii="Calibri" w:eastAsia="Calibri" w:hAnsi="Calibri" w:cs="Calibri"/>
          <w:i/>
          <w:sz w:val="22"/>
          <w:szCs w:val="22"/>
        </w:rPr>
        <w:t xml:space="preserve">mid </w:t>
      </w:r>
      <w:r>
        <w:rPr>
          <w:rFonts w:ascii="Calibri" w:eastAsia="Calibri" w:hAnsi="Calibri" w:cs="Calibri"/>
          <w:i/>
          <w:spacing w:val="-1"/>
          <w:sz w:val="22"/>
          <w:szCs w:val="22"/>
        </w:rPr>
        <w:t>A</w:t>
      </w:r>
      <w:r>
        <w:rPr>
          <w:rFonts w:ascii="Calibri" w:eastAsia="Calibri" w:hAnsi="Calibri" w:cs="Calibri"/>
          <w:i/>
          <w:sz w:val="22"/>
          <w:szCs w:val="22"/>
        </w:rPr>
        <w:t>AP</w:t>
      </w:r>
      <w:r>
        <w:rPr>
          <w:rFonts w:ascii="Calibri" w:eastAsia="Calibri" w:hAnsi="Calibri" w:cs="Calibri"/>
          <w:i/>
          <w:spacing w:val="-2"/>
          <w:sz w:val="22"/>
          <w:szCs w:val="22"/>
        </w:rPr>
        <w:t>V</w:t>
      </w:r>
      <w:r>
        <w:rPr>
          <w:rFonts w:ascii="Calibri" w:eastAsia="Calibri" w:hAnsi="Calibri" w:cs="Calibri"/>
          <w:i/>
          <w:sz w:val="22"/>
          <w:szCs w:val="22"/>
        </w:rPr>
        <w:t>”</w:t>
      </w:r>
      <w:r>
        <w:rPr>
          <w:rFonts w:ascii="Calibri" w:eastAsia="Calibri" w:hAnsi="Calibri" w:cs="Calibri"/>
          <w:i/>
          <w:spacing w:val="3"/>
          <w:sz w:val="22"/>
          <w:szCs w:val="22"/>
        </w:rPr>
        <w:t xml:space="preserve"> </w:t>
      </w:r>
      <w:r>
        <w:rPr>
          <w:rFonts w:ascii="Calibri" w:eastAsia="Calibri" w:hAnsi="Calibri" w:cs="Calibri"/>
          <w:i/>
          <w:sz w:val="22"/>
          <w:szCs w:val="22"/>
        </w:rPr>
        <w:t>v</w:t>
      </w:r>
      <w:r>
        <w:rPr>
          <w:rFonts w:ascii="Calibri" w:eastAsia="Calibri" w:hAnsi="Calibri" w:cs="Calibri"/>
          <w:i/>
          <w:spacing w:val="-2"/>
          <w:sz w:val="22"/>
          <w:szCs w:val="22"/>
        </w:rPr>
        <w:t>e</w:t>
      </w:r>
      <w:r>
        <w:rPr>
          <w:rFonts w:ascii="Calibri" w:eastAsia="Calibri" w:hAnsi="Calibri" w:cs="Calibri"/>
          <w:i/>
          <w:spacing w:val="1"/>
          <w:sz w:val="22"/>
          <w:szCs w:val="22"/>
        </w:rPr>
        <w:t>r</w:t>
      </w:r>
      <w:r>
        <w:rPr>
          <w:rFonts w:ascii="Calibri" w:eastAsia="Calibri" w:hAnsi="Calibri" w:cs="Calibri"/>
          <w:i/>
          <w:sz w:val="22"/>
          <w:szCs w:val="22"/>
        </w:rPr>
        <w:t>sion</w:t>
      </w:r>
      <w:r>
        <w:rPr>
          <w:rFonts w:ascii="Calibri" w:eastAsia="Calibri" w:hAnsi="Calibri" w:cs="Calibri"/>
          <w:i/>
          <w:spacing w:val="-1"/>
          <w:sz w:val="22"/>
          <w:szCs w:val="22"/>
        </w:rPr>
        <w:t xml:space="preserve"> </w:t>
      </w:r>
      <w:r>
        <w:rPr>
          <w:rFonts w:ascii="Calibri" w:eastAsia="Calibri" w:hAnsi="Calibri" w:cs="Calibri"/>
          <w:i/>
          <w:sz w:val="22"/>
          <w:szCs w:val="22"/>
        </w:rPr>
        <w:t>of</w:t>
      </w:r>
      <w:r>
        <w:rPr>
          <w:rFonts w:ascii="Calibri" w:eastAsia="Calibri" w:hAnsi="Calibri" w:cs="Calibri"/>
          <w:i/>
          <w:spacing w:val="-2"/>
          <w:sz w:val="22"/>
          <w:szCs w:val="22"/>
        </w:rPr>
        <w:t xml:space="preserve"> </w:t>
      </w:r>
      <w:r>
        <w:rPr>
          <w:rFonts w:ascii="Calibri" w:eastAsia="Calibri" w:hAnsi="Calibri" w:cs="Calibri"/>
          <w:i/>
          <w:sz w:val="22"/>
          <w:szCs w:val="22"/>
        </w:rPr>
        <w:t>F</w:t>
      </w:r>
      <w:r>
        <w:rPr>
          <w:rFonts w:ascii="Calibri" w:eastAsia="Calibri" w:hAnsi="Calibri" w:cs="Calibri"/>
          <w:i/>
          <w:spacing w:val="-1"/>
          <w:sz w:val="22"/>
          <w:szCs w:val="22"/>
        </w:rPr>
        <w:t>o</w:t>
      </w:r>
      <w:r>
        <w:rPr>
          <w:rFonts w:ascii="Calibri" w:eastAsia="Calibri" w:hAnsi="Calibri" w:cs="Calibri"/>
          <w:i/>
          <w:spacing w:val="1"/>
          <w:sz w:val="22"/>
          <w:szCs w:val="22"/>
        </w:rPr>
        <w:t>r</w:t>
      </w:r>
      <w:r>
        <w:rPr>
          <w:rFonts w:ascii="Calibri" w:eastAsia="Calibri" w:hAnsi="Calibri" w:cs="Calibri"/>
          <w:i/>
          <w:sz w:val="22"/>
          <w:szCs w:val="22"/>
        </w:rPr>
        <w:t>m</w:t>
      </w:r>
      <w:r>
        <w:rPr>
          <w:rFonts w:ascii="Calibri" w:eastAsia="Calibri" w:hAnsi="Calibri" w:cs="Calibri"/>
          <w:i/>
          <w:spacing w:val="-4"/>
          <w:sz w:val="22"/>
          <w:szCs w:val="22"/>
        </w:rPr>
        <w:t xml:space="preserve"> </w:t>
      </w:r>
      <w:r>
        <w:rPr>
          <w:rFonts w:ascii="Calibri" w:eastAsia="Calibri" w:hAnsi="Calibri" w:cs="Calibri"/>
          <w:i/>
          <w:spacing w:val="1"/>
          <w:sz w:val="22"/>
          <w:szCs w:val="22"/>
        </w:rPr>
        <w:t>1</w:t>
      </w:r>
      <w:r>
        <w:rPr>
          <w:rFonts w:ascii="Calibri" w:eastAsia="Calibri" w:hAnsi="Calibri" w:cs="Calibri"/>
          <w:i/>
          <w:sz w:val="22"/>
          <w:szCs w:val="22"/>
        </w:rPr>
        <w:t>.1c of</w:t>
      </w:r>
      <w:r>
        <w:rPr>
          <w:rFonts w:ascii="Calibri" w:eastAsia="Calibri" w:hAnsi="Calibri" w:cs="Calibri"/>
          <w:i/>
          <w:spacing w:val="-2"/>
          <w:sz w:val="22"/>
          <w:szCs w:val="22"/>
        </w:rPr>
        <w:t xml:space="preserve"> </w:t>
      </w:r>
      <w:r>
        <w:rPr>
          <w:rFonts w:ascii="Calibri" w:eastAsia="Calibri" w:hAnsi="Calibri" w:cs="Calibri"/>
          <w:i/>
          <w:sz w:val="22"/>
          <w:szCs w:val="22"/>
        </w:rPr>
        <w:t>the</w:t>
      </w:r>
      <w:r>
        <w:rPr>
          <w:rFonts w:ascii="Calibri" w:eastAsia="Calibri" w:hAnsi="Calibri" w:cs="Calibri"/>
          <w:i/>
          <w:spacing w:val="1"/>
          <w:sz w:val="22"/>
          <w:szCs w:val="22"/>
        </w:rPr>
        <w:t xml:space="preserve"> </w:t>
      </w:r>
      <w:r>
        <w:rPr>
          <w:rFonts w:ascii="Calibri" w:eastAsia="Calibri" w:hAnsi="Calibri" w:cs="Calibri"/>
          <w:i/>
          <w:sz w:val="22"/>
          <w:szCs w:val="22"/>
        </w:rPr>
        <w:t>CE</w:t>
      </w:r>
      <w:r>
        <w:rPr>
          <w:rFonts w:ascii="Calibri" w:eastAsia="Calibri" w:hAnsi="Calibri" w:cs="Calibri"/>
          <w:i/>
          <w:spacing w:val="-2"/>
          <w:sz w:val="22"/>
          <w:szCs w:val="22"/>
        </w:rPr>
        <w:t>C</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pacing w:val="-1"/>
          <w:sz w:val="22"/>
          <w:szCs w:val="22"/>
        </w:rPr>
        <w:t>ad</w:t>
      </w:r>
      <w:r>
        <w:rPr>
          <w:rFonts w:ascii="Calibri" w:eastAsia="Calibri" w:hAnsi="Calibri" w:cs="Calibri"/>
          <w:i/>
          <w:sz w:val="22"/>
          <w:szCs w:val="22"/>
        </w:rPr>
        <w:t>o</w:t>
      </w:r>
      <w:r>
        <w:rPr>
          <w:rFonts w:ascii="Calibri" w:eastAsia="Calibri" w:hAnsi="Calibri" w:cs="Calibri"/>
          <w:i/>
          <w:spacing w:val="-1"/>
          <w:sz w:val="22"/>
          <w:szCs w:val="22"/>
        </w:rPr>
        <w:t>p</w:t>
      </w:r>
      <w:r>
        <w:rPr>
          <w:rFonts w:ascii="Calibri" w:eastAsia="Calibri" w:hAnsi="Calibri" w:cs="Calibri"/>
          <w:i/>
          <w:sz w:val="22"/>
          <w:szCs w:val="22"/>
        </w:rPr>
        <w:t>ted</w:t>
      </w:r>
      <w:r>
        <w:rPr>
          <w:rFonts w:ascii="Calibri" w:eastAsia="Calibri" w:hAnsi="Calibri" w:cs="Calibri"/>
          <w:i/>
          <w:spacing w:val="-2"/>
          <w:sz w:val="22"/>
          <w:szCs w:val="22"/>
        </w:rPr>
        <w:t xml:space="preserve"> 2</w:t>
      </w:r>
      <w:r>
        <w:rPr>
          <w:rFonts w:ascii="Calibri" w:eastAsia="Calibri" w:hAnsi="Calibri" w:cs="Calibri"/>
          <w:i/>
          <w:spacing w:val="1"/>
          <w:sz w:val="22"/>
          <w:szCs w:val="22"/>
        </w:rPr>
        <w:t>0</w:t>
      </w:r>
      <w:r>
        <w:rPr>
          <w:rFonts w:ascii="Calibri" w:eastAsia="Calibri" w:hAnsi="Calibri" w:cs="Calibri"/>
          <w:i/>
          <w:spacing w:val="-2"/>
          <w:sz w:val="22"/>
          <w:szCs w:val="22"/>
        </w:rPr>
        <w:t>1</w:t>
      </w:r>
      <w:r>
        <w:rPr>
          <w:rFonts w:ascii="Calibri" w:eastAsia="Calibri" w:hAnsi="Calibri" w:cs="Calibri"/>
          <w:i/>
          <w:sz w:val="22"/>
          <w:szCs w:val="22"/>
        </w:rPr>
        <w:t>7</w:t>
      </w:r>
      <w:r>
        <w:rPr>
          <w:rFonts w:ascii="Calibri" w:eastAsia="Calibri" w:hAnsi="Calibri" w:cs="Calibri"/>
          <w:i/>
          <w:spacing w:val="1"/>
          <w:sz w:val="22"/>
          <w:szCs w:val="22"/>
        </w:rPr>
        <w:t xml:space="preserve"> </w:t>
      </w:r>
      <w:r>
        <w:rPr>
          <w:rFonts w:ascii="Calibri" w:eastAsia="Calibri" w:hAnsi="Calibri" w:cs="Calibri"/>
          <w:i/>
          <w:sz w:val="22"/>
          <w:szCs w:val="22"/>
        </w:rPr>
        <w:t>I</w:t>
      </w:r>
      <w:r>
        <w:rPr>
          <w:rFonts w:ascii="Calibri" w:eastAsia="Calibri" w:hAnsi="Calibri" w:cs="Calibri"/>
          <w:i/>
          <w:spacing w:val="-2"/>
          <w:sz w:val="22"/>
          <w:szCs w:val="22"/>
        </w:rPr>
        <w:t>E</w:t>
      </w:r>
      <w:r>
        <w:rPr>
          <w:rFonts w:ascii="Calibri" w:eastAsia="Calibri" w:hAnsi="Calibri" w:cs="Calibri"/>
          <w:i/>
          <w:spacing w:val="1"/>
          <w:sz w:val="22"/>
          <w:szCs w:val="22"/>
        </w:rPr>
        <w:t>P</w:t>
      </w:r>
      <w:r>
        <w:rPr>
          <w:rFonts w:ascii="Calibri" w:eastAsia="Calibri" w:hAnsi="Calibri" w:cs="Calibri"/>
          <w:i/>
          <w:sz w:val="22"/>
          <w:szCs w:val="22"/>
        </w:rPr>
        <w:t>R</w:t>
      </w:r>
      <w:r>
        <w:rPr>
          <w:rFonts w:ascii="Calibri" w:eastAsia="Calibri" w:hAnsi="Calibri" w:cs="Calibri"/>
          <w:i/>
          <w:spacing w:val="1"/>
          <w:sz w:val="22"/>
          <w:szCs w:val="22"/>
        </w:rPr>
        <w:t xml:space="preserve"> </w:t>
      </w:r>
      <w:r>
        <w:rPr>
          <w:rFonts w:ascii="Calibri" w:eastAsia="Calibri" w:hAnsi="Calibri" w:cs="Calibri"/>
          <w:i/>
          <w:spacing w:val="-1"/>
          <w:sz w:val="22"/>
          <w:szCs w:val="22"/>
        </w:rPr>
        <w:t>d</w:t>
      </w:r>
      <w:r>
        <w:rPr>
          <w:rFonts w:ascii="Calibri" w:eastAsia="Calibri" w:hAnsi="Calibri" w:cs="Calibri"/>
          <w:i/>
          <w:spacing w:val="-2"/>
          <w:sz w:val="22"/>
          <w:szCs w:val="22"/>
        </w:rPr>
        <w:t>e</w:t>
      </w:r>
      <w:r>
        <w:rPr>
          <w:rFonts w:ascii="Calibri" w:eastAsia="Calibri" w:hAnsi="Calibri" w:cs="Calibri"/>
          <w:i/>
          <w:sz w:val="22"/>
          <w:szCs w:val="22"/>
        </w:rPr>
        <w:t>ma</w:t>
      </w:r>
      <w:r>
        <w:rPr>
          <w:rFonts w:ascii="Calibri" w:eastAsia="Calibri" w:hAnsi="Calibri" w:cs="Calibri"/>
          <w:i/>
          <w:spacing w:val="-1"/>
          <w:sz w:val="22"/>
          <w:szCs w:val="22"/>
        </w:rPr>
        <w:t>n</w:t>
      </w:r>
      <w:r>
        <w:rPr>
          <w:rFonts w:ascii="Calibri" w:eastAsia="Calibri" w:hAnsi="Calibri" w:cs="Calibri"/>
          <w:i/>
          <w:sz w:val="22"/>
          <w:szCs w:val="22"/>
        </w:rPr>
        <w:t>d</w:t>
      </w:r>
      <w:r>
        <w:rPr>
          <w:rFonts w:ascii="Calibri" w:eastAsia="Calibri" w:hAnsi="Calibri" w:cs="Calibri"/>
          <w:i/>
          <w:spacing w:val="-1"/>
          <w:sz w:val="22"/>
          <w:szCs w:val="22"/>
        </w:rPr>
        <w:t xml:space="preserve"> </w:t>
      </w:r>
      <w:r>
        <w:rPr>
          <w:rFonts w:ascii="Calibri" w:eastAsia="Calibri" w:hAnsi="Calibri" w:cs="Calibri"/>
          <w:i/>
          <w:sz w:val="22"/>
          <w:szCs w:val="22"/>
        </w:rPr>
        <w:t>fo</w:t>
      </w:r>
      <w:r>
        <w:rPr>
          <w:rFonts w:ascii="Calibri" w:eastAsia="Calibri" w:hAnsi="Calibri" w:cs="Calibri"/>
          <w:i/>
          <w:spacing w:val="1"/>
          <w:sz w:val="22"/>
          <w:szCs w:val="22"/>
        </w:rPr>
        <w:t>r</w:t>
      </w:r>
      <w:r>
        <w:rPr>
          <w:rFonts w:ascii="Calibri" w:eastAsia="Calibri" w:hAnsi="Calibri" w:cs="Calibri"/>
          <w:i/>
          <w:sz w:val="22"/>
          <w:szCs w:val="22"/>
        </w:rPr>
        <w:t>ec</w:t>
      </w:r>
      <w:r>
        <w:rPr>
          <w:rFonts w:ascii="Calibri" w:eastAsia="Calibri" w:hAnsi="Calibri" w:cs="Calibri"/>
          <w:i/>
          <w:spacing w:val="-1"/>
          <w:sz w:val="22"/>
          <w:szCs w:val="22"/>
        </w:rPr>
        <w:t>a</w:t>
      </w:r>
      <w:r>
        <w:rPr>
          <w:rFonts w:ascii="Calibri" w:eastAsia="Calibri" w:hAnsi="Calibri" w:cs="Calibri"/>
          <w:i/>
          <w:spacing w:val="-2"/>
          <w:sz w:val="22"/>
          <w:szCs w:val="22"/>
        </w:rPr>
        <w:t>s</w:t>
      </w:r>
      <w:r>
        <w:rPr>
          <w:rFonts w:ascii="Calibri" w:eastAsia="Calibri" w:hAnsi="Calibri" w:cs="Calibri"/>
          <w:i/>
          <w:spacing w:val="2"/>
          <w:sz w:val="22"/>
          <w:szCs w:val="22"/>
        </w:rPr>
        <w:t xml:space="preserve">t, </w:t>
      </w:r>
      <w:r w:rsidR="004758C8">
        <w:rPr>
          <w:rFonts w:ascii="Calibri" w:eastAsia="Calibri" w:hAnsi="Calibri" w:cs="Calibri"/>
          <w:i/>
          <w:spacing w:val="2"/>
          <w:sz w:val="22"/>
          <w:szCs w:val="22"/>
        </w:rPr>
        <w:t xml:space="preserve">unless superseded by Administrative Law Judge ruling, </w:t>
      </w:r>
      <w:r>
        <w:rPr>
          <w:rFonts w:ascii="Calibri" w:eastAsia="Calibri" w:hAnsi="Calibri" w:cs="Calibri"/>
          <w:i/>
          <w:spacing w:val="2"/>
          <w:sz w:val="22"/>
          <w:szCs w:val="22"/>
        </w:rPr>
        <w:t>as closely as possible</w:t>
      </w:r>
      <w:r>
        <w:rPr>
          <w:rFonts w:ascii="Calibri" w:eastAsia="Calibri" w:hAnsi="Calibri" w:cs="Calibri"/>
          <w:i/>
          <w:sz w:val="22"/>
          <w:szCs w:val="22"/>
        </w:rPr>
        <w:t>.</w:t>
      </w:r>
    </w:p>
    <w:p w:rsidR="00AF0282" w:rsidRPr="00D6564C" w:rsidRDefault="00AF0282" w:rsidP="00916BEF">
      <w:pPr>
        <w:numPr>
          <w:ilvl w:val="1"/>
          <w:numId w:val="3"/>
        </w:numPr>
        <w:spacing w:after="12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xml:space="preserve">LSE load modifier assumptions shall be consistent with the 2017 IEPR </w:t>
      </w:r>
      <w:r>
        <w:rPr>
          <w:rFonts w:asciiTheme="minorHAnsi" w:eastAsiaTheme="minorHAnsi" w:hAnsiTheme="minorHAnsi" w:cstheme="minorBidi"/>
          <w:i/>
          <w:sz w:val="22"/>
          <w:szCs w:val="22"/>
        </w:rPr>
        <w:t>demand forecast</w:t>
      </w:r>
      <w:r w:rsidRPr="00D6564C">
        <w:rPr>
          <w:rFonts w:asciiTheme="minorHAnsi" w:eastAsiaTheme="minorHAnsi" w:hAnsiTheme="minorHAnsi" w:cstheme="minorBidi"/>
          <w:i/>
          <w:sz w:val="22"/>
          <w:szCs w:val="22"/>
        </w:rPr>
        <w:t xml:space="preserve"> projections of both PV and non-PV self-generation, and load-modifying demand response</w:t>
      </w:r>
      <w:r>
        <w:rPr>
          <w:rFonts w:asciiTheme="minorHAnsi" w:eastAsiaTheme="minorHAnsi" w:hAnsiTheme="minorHAnsi" w:cstheme="minorBidi"/>
          <w:i/>
          <w:sz w:val="22"/>
          <w:szCs w:val="22"/>
        </w:rPr>
        <w:t xml:space="preserve"> included in the “mid Baseline mid AAEE mid AAPV” case</w:t>
      </w:r>
      <w:r w:rsidRPr="00D6564C">
        <w:rPr>
          <w:rFonts w:asciiTheme="minorHAnsi" w:eastAsiaTheme="minorHAnsi" w:hAnsiTheme="minorHAnsi" w:cstheme="minorBidi"/>
          <w:i/>
          <w:sz w:val="22"/>
          <w:szCs w:val="22"/>
        </w:rPr>
        <w:t>.</w:t>
      </w:r>
    </w:p>
    <w:p w:rsidR="00AF0282" w:rsidRPr="00D6564C" w:rsidRDefault="00AF0282" w:rsidP="00916BEF">
      <w:pPr>
        <w:numPr>
          <w:ilvl w:val="1"/>
          <w:numId w:val="3"/>
        </w:numPr>
        <w:spacing w:after="12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LSEs shall use the 2017 IEPR burner-tip natural gas price projections</w:t>
      </w:r>
      <w:r w:rsidR="00F737E9">
        <w:rPr>
          <w:rFonts w:asciiTheme="minorHAnsi" w:eastAsiaTheme="minorHAnsi" w:hAnsiTheme="minorHAnsi" w:cstheme="minorBidi"/>
          <w:i/>
          <w:sz w:val="22"/>
          <w:szCs w:val="22"/>
        </w:rPr>
        <w:t xml:space="preserve">, </w:t>
      </w:r>
      <w:r w:rsidR="00F737E9">
        <w:rPr>
          <w:rFonts w:ascii="Calibri" w:eastAsia="Calibri" w:hAnsi="Calibri" w:cs="Calibri"/>
          <w:i/>
          <w:sz w:val="22"/>
          <w:szCs w:val="22"/>
        </w:rPr>
        <w:t xml:space="preserve">which </w:t>
      </w:r>
      <w:r w:rsidR="00F737E9" w:rsidRPr="005305CE">
        <w:rPr>
          <w:rFonts w:ascii="Calibri" w:eastAsia="Calibri" w:hAnsi="Calibri" w:cs="Calibri"/>
          <w:i/>
          <w:sz w:val="22"/>
          <w:szCs w:val="22"/>
        </w:rPr>
        <w:t>are based on the April 2018 Updated Model</w:t>
      </w:r>
      <w:r w:rsidRPr="00D6564C">
        <w:rPr>
          <w:rFonts w:asciiTheme="minorHAnsi" w:eastAsiaTheme="minorHAnsi" w:hAnsiTheme="minorHAnsi" w:cstheme="minorBidi"/>
          <w:i/>
          <w:sz w:val="22"/>
          <w:szCs w:val="22"/>
        </w:rPr>
        <w:t>.</w:t>
      </w:r>
      <w:r w:rsidR="00F737E9">
        <w:rPr>
          <w:rStyle w:val="FootnoteReference"/>
          <w:rFonts w:asciiTheme="minorHAnsi" w:eastAsiaTheme="minorHAnsi" w:hAnsiTheme="minorHAnsi" w:cstheme="minorBidi"/>
          <w:i/>
          <w:szCs w:val="22"/>
        </w:rPr>
        <w:footnoteReference w:id="1"/>
      </w:r>
    </w:p>
    <w:p w:rsidR="00AF0282" w:rsidRPr="00D6564C" w:rsidRDefault="00AF0282" w:rsidP="00AF0282">
      <w:pPr>
        <w:spacing w:after="12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xml:space="preserve">LSEs may also study and report “Alternative Portfolios” developed from additional scenarios using different assumptions (including differing load and load modifier assumptions) from the Reference System Plan. </w:t>
      </w:r>
      <w:r>
        <w:rPr>
          <w:rFonts w:asciiTheme="minorHAnsi" w:eastAsiaTheme="minorHAnsi" w:hAnsiTheme="minorHAnsi" w:cstheme="minorBidi"/>
          <w:i/>
          <w:sz w:val="22"/>
          <w:szCs w:val="22"/>
        </w:rPr>
        <w:t xml:space="preserve">Alternative Portfolios may assume that other LSEs do not procure in a manner consistent with the Reference System Plan. </w:t>
      </w:r>
      <w:r w:rsidRPr="00D6564C">
        <w:rPr>
          <w:rFonts w:asciiTheme="minorHAnsi" w:eastAsiaTheme="minorHAnsi" w:hAnsiTheme="minorHAnsi" w:cstheme="minorBidi"/>
          <w:i/>
          <w:sz w:val="22"/>
          <w:szCs w:val="22"/>
        </w:rPr>
        <w:t xml:space="preserve">For example, an IOU may choose to prepare a portfolio that plans for CCA load departure not reflected in its assigned IEPR load forecast. IOUs doing so shall adjust their 2030 GHG Emissions Benchmark (if applicable) downward proportionally with the departing load. </w:t>
      </w:r>
    </w:p>
    <w:p w:rsidR="00AF0282" w:rsidRPr="00D6564C" w:rsidRDefault="00AF0282" w:rsidP="00AF0282">
      <w:pPr>
        <w:spacing w:after="12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For all Alternative Portfolios developed, any deviations from the Conforming Portfolio must be explained and justified.</w:t>
      </w:r>
      <w:r w:rsidRPr="00D6564C">
        <w:rPr>
          <w:rFonts w:asciiTheme="minorHAnsi" w:eastAsiaTheme="minorHAnsi" w:hAnsiTheme="minorHAnsi" w:cstheme="minorBidi"/>
          <w:bCs/>
          <w:i/>
          <w:sz w:val="22"/>
          <w:szCs w:val="22"/>
        </w:rPr>
        <w:t xml:space="preserve"> If the LSE uses different load and load modifier assumptions as part of any Alternate Portfolios, the LSE should report that information using the standard IEPR filing form templates associated with that information, as described in detail in Section 5: Data.</w:t>
      </w:r>
    </w:p>
    <w:p w:rsidR="00AF0282" w:rsidRPr="00D6564C" w:rsidRDefault="00AF0282" w:rsidP="00AF0282">
      <w:pPr>
        <w:spacing w:after="20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Among the Conforming Portfolio and Alternative Portfolio(s) developed by the LSE, the LSE will identify one as its “Preferred Portfolio.”</w:t>
      </w:r>
    </w:p>
    <w:p w:rsidR="00AF0282" w:rsidRPr="00D6564C" w:rsidRDefault="00AF0282" w:rsidP="00AF0282">
      <w:pPr>
        <w:spacing w:after="200" w:line="276" w:lineRule="auto"/>
        <w:rPr>
          <w:rFonts w:asciiTheme="minorHAnsi" w:eastAsiaTheme="minorHAnsi" w:hAnsiTheme="minorHAnsi" w:cstheme="minorBidi"/>
          <w:i/>
          <w:sz w:val="22"/>
          <w:szCs w:val="22"/>
          <w:u w:val="single"/>
        </w:rPr>
      </w:pPr>
      <w:r w:rsidRPr="00D6564C">
        <w:rPr>
          <w:rFonts w:asciiTheme="minorHAnsi" w:eastAsiaTheme="minorHAnsi" w:hAnsiTheme="minorHAnsi" w:cstheme="minorBidi"/>
          <w:b/>
          <w:i/>
          <w:sz w:val="22"/>
          <w:szCs w:val="22"/>
          <w:u w:val="single"/>
        </w:rPr>
        <w:t>GHG Planning Price</w:t>
      </w:r>
    </w:p>
    <w:p w:rsidR="00F737E9" w:rsidRDefault="00AF0282" w:rsidP="00AF0282">
      <w:pPr>
        <w:spacing w:after="12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LSEs electing to use the GHG Planning Price—rather than the LSE-specific GHG Emissions Benchmark—in developing their portfolio(s) must use the values presented in Table A below. The GHG Planning Price is equivalent to the marginal cost of GHG abatement associated with the 42 MMT Scenario for the years 2018 to 2026 (i.e., a curve that slopes upward from ~$15/ton to ~$23/ton), followed by a straight-line increase from ~$23/ton in 2026 to $150/ton in 2030. The straight-line increase is intended to fill the gap for the years for which RESOLVE does not produce GHG abatement cost values (i.e., 2027, 2028, and 2029).</w:t>
      </w:r>
    </w:p>
    <w:p w:rsidR="00F737E9" w:rsidRDefault="00F737E9">
      <w:pPr>
        <w:spacing w:after="200" w:line="276" w:lineRule="auto"/>
        <w:rPr>
          <w:rFonts w:asciiTheme="minorHAnsi" w:eastAsiaTheme="minorHAnsi" w:hAnsiTheme="minorHAnsi" w:cstheme="minorBidi"/>
          <w:i/>
          <w:sz w:val="22"/>
          <w:szCs w:val="22"/>
        </w:rPr>
      </w:pPr>
      <w:r>
        <w:rPr>
          <w:rFonts w:asciiTheme="minorHAnsi" w:eastAsiaTheme="minorHAnsi" w:hAnsiTheme="minorHAnsi" w:cstheme="minorBidi"/>
          <w:i/>
          <w:sz w:val="22"/>
          <w:szCs w:val="22"/>
        </w:rPr>
        <w:br w:type="page"/>
      </w:r>
    </w:p>
    <w:p w:rsidR="00AF0282" w:rsidRPr="00D6564C" w:rsidRDefault="00AF0282" w:rsidP="00AF0282">
      <w:pPr>
        <w:spacing w:after="120" w:line="276" w:lineRule="auto"/>
        <w:rPr>
          <w:rFonts w:asciiTheme="minorHAnsi" w:eastAsiaTheme="minorHAnsi" w:hAnsiTheme="minorHAnsi" w:cstheme="minorBidi"/>
          <w:i/>
          <w:sz w:val="22"/>
          <w:szCs w:val="22"/>
        </w:rPr>
      </w:pPr>
    </w:p>
    <w:p w:rsidR="00AF0282" w:rsidRPr="00D6564C" w:rsidRDefault="00AF0282" w:rsidP="00AF0282">
      <w:pPr>
        <w:spacing w:line="276" w:lineRule="auto"/>
        <w:ind w:left="720"/>
        <w:rPr>
          <w:rFonts w:asciiTheme="minorHAnsi" w:eastAsiaTheme="minorHAnsi" w:hAnsiTheme="minorHAnsi" w:cstheme="minorBidi"/>
          <w:b/>
          <w:i/>
          <w:sz w:val="22"/>
          <w:szCs w:val="22"/>
        </w:rPr>
      </w:pPr>
      <w:r w:rsidRPr="00D6564C">
        <w:rPr>
          <w:rFonts w:asciiTheme="minorHAnsi" w:eastAsiaTheme="minorHAnsi" w:hAnsiTheme="minorHAnsi" w:cstheme="minorBidi"/>
          <w:b/>
          <w:i/>
          <w:sz w:val="22"/>
          <w:szCs w:val="22"/>
        </w:rPr>
        <w:t>TABLE A</w:t>
      </w:r>
    </w:p>
    <w:tbl>
      <w:tblPr>
        <w:tblStyle w:val="TableGrid1"/>
        <w:tblW w:w="0" w:type="auto"/>
        <w:tblInd w:w="720" w:type="dxa"/>
        <w:tblLook w:val="04A0" w:firstRow="1" w:lastRow="0" w:firstColumn="1" w:lastColumn="0" w:noHBand="0" w:noVBand="1"/>
      </w:tblPr>
      <w:tblGrid>
        <w:gridCol w:w="942"/>
        <w:gridCol w:w="3738"/>
      </w:tblGrid>
      <w:tr w:rsidR="00AF0282" w:rsidRPr="00D6564C" w:rsidTr="00762A52">
        <w:tc>
          <w:tcPr>
            <w:tcW w:w="4680" w:type="dxa"/>
            <w:gridSpan w:val="2"/>
          </w:tcPr>
          <w:p w:rsidR="00AF0282" w:rsidRPr="00D6564C" w:rsidRDefault="00AF0282" w:rsidP="00762A52">
            <w:pPr>
              <w:jc w:val="center"/>
              <w:rPr>
                <w:rFonts w:asciiTheme="minorHAnsi" w:hAnsiTheme="minorHAnsi"/>
                <w:b/>
                <w:i/>
                <w:sz w:val="22"/>
              </w:rPr>
            </w:pPr>
            <w:r w:rsidRPr="00D6564C">
              <w:rPr>
                <w:rFonts w:asciiTheme="minorHAnsi" w:hAnsiTheme="minorHAnsi"/>
                <w:b/>
                <w:i/>
                <w:sz w:val="22"/>
              </w:rPr>
              <w:t>GHG Planning Price ($ per metric ton of CO2e) for use in IRP</w:t>
            </w:r>
          </w:p>
        </w:tc>
      </w:tr>
      <w:tr w:rsidR="00AF0282" w:rsidRPr="00D6564C" w:rsidTr="00762A52">
        <w:tc>
          <w:tcPr>
            <w:tcW w:w="942" w:type="dxa"/>
          </w:tcPr>
          <w:p w:rsidR="00AF0282" w:rsidRPr="00D6564C" w:rsidRDefault="00AF0282" w:rsidP="00762A52">
            <w:pPr>
              <w:jc w:val="center"/>
              <w:rPr>
                <w:rFonts w:asciiTheme="minorHAnsi" w:hAnsiTheme="minorHAnsi"/>
                <w:i/>
                <w:sz w:val="22"/>
              </w:rPr>
            </w:pPr>
            <w:r w:rsidRPr="00D6564C">
              <w:rPr>
                <w:rFonts w:asciiTheme="minorHAnsi" w:hAnsiTheme="minorHAnsi"/>
                <w:i/>
                <w:sz w:val="22"/>
              </w:rPr>
              <w:t>2018</w:t>
            </w:r>
          </w:p>
        </w:tc>
        <w:tc>
          <w:tcPr>
            <w:tcW w:w="3738" w:type="dxa"/>
          </w:tcPr>
          <w:p w:rsidR="00AF0282" w:rsidRPr="00D6564C" w:rsidRDefault="00AF0282" w:rsidP="00762A52">
            <w:pPr>
              <w:jc w:val="center"/>
              <w:rPr>
                <w:rFonts w:asciiTheme="minorHAnsi" w:hAnsiTheme="minorHAnsi"/>
                <w:i/>
                <w:sz w:val="22"/>
              </w:rPr>
            </w:pPr>
            <w:r w:rsidRPr="00D6564C">
              <w:rPr>
                <w:rFonts w:asciiTheme="minorHAnsi" w:hAnsiTheme="minorHAnsi"/>
                <w:i/>
                <w:sz w:val="22"/>
              </w:rPr>
              <w:t>$15.17</w:t>
            </w:r>
          </w:p>
        </w:tc>
      </w:tr>
      <w:tr w:rsidR="00AF0282" w:rsidRPr="00D6564C" w:rsidTr="00762A52">
        <w:tc>
          <w:tcPr>
            <w:tcW w:w="942" w:type="dxa"/>
          </w:tcPr>
          <w:p w:rsidR="00AF0282" w:rsidRPr="00D6564C" w:rsidRDefault="00AF0282" w:rsidP="00762A52">
            <w:pPr>
              <w:jc w:val="center"/>
              <w:rPr>
                <w:rFonts w:asciiTheme="minorHAnsi" w:hAnsiTheme="minorHAnsi"/>
                <w:i/>
                <w:sz w:val="22"/>
              </w:rPr>
            </w:pPr>
            <w:r w:rsidRPr="00D6564C">
              <w:rPr>
                <w:rFonts w:asciiTheme="minorHAnsi" w:hAnsiTheme="minorHAnsi"/>
                <w:i/>
                <w:sz w:val="22"/>
              </w:rPr>
              <w:t>2019</w:t>
            </w:r>
          </w:p>
        </w:tc>
        <w:tc>
          <w:tcPr>
            <w:tcW w:w="3738" w:type="dxa"/>
          </w:tcPr>
          <w:p w:rsidR="00AF0282" w:rsidRPr="00D6564C" w:rsidRDefault="00AF0282" w:rsidP="00762A52">
            <w:pPr>
              <w:jc w:val="center"/>
              <w:rPr>
                <w:rFonts w:asciiTheme="minorHAnsi" w:hAnsiTheme="minorHAnsi"/>
                <w:i/>
                <w:sz w:val="22"/>
              </w:rPr>
            </w:pPr>
            <w:r w:rsidRPr="00D6564C">
              <w:rPr>
                <w:rFonts w:asciiTheme="minorHAnsi" w:hAnsiTheme="minorHAnsi"/>
                <w:i/>
                <w:sz w:val="22"/>
              </w:rPr>
              <w:t>$16.05</w:t>
            </w:r>
          </w:p>
        </w:tc>
      </w:tr>
      <w:tr w:rsidR="00AF0282" w:rsidRPr="00D6564C" w:rsidTr="00762A52">
        <w:tc>
          <w:tcPr>
            <w:tcW w:w="942" w:type="dxa"/>
          </w:tcPr>
          <w:p w:rsidR="00AF0282" w:rsidRPr="00D6564C" w:rsidRDefault="00AF0282" w:rsidP="00762A52">
            <w:pPr>
              <w:jc w:val="center"/>
              <w:rPr>
                <w:rFonts w:asciiTheme="minorHAnsi" w:hAnsiTheme="minorHAnsi"/>
                <w:i/>
                <w:sz w:val="22"/>
              </w:rPr>
            </w:pPr>
            <w:r w:rsidRPr="00D6564C">
              <w:rPr>
                <w:rFonts w:asciiTheme="minorHAnsi" w:hAnsiTheme="minorHAnsi"/>
                <w:i/>
                <w:sz w:val="22"/>
              </w:rPr>
              <w:t>2020</w:t>
            </w:r>
          </w:p>
        </w:tc>
        <w:tc>
          <w:tcPr>
            <w:tcW w:w="3738" w:type="dxa"/>
          </w:tcPr>
          <w:p w:rsidR="00AF0282" w:rsidRPr="00D6564C" w:rsidRDefault="00AF0282" w:rsidP="00762A52">
            <w:pPr>
              <w:jc w:val="center"/>
              <w:rPr>
                <w:rFonts w:asciiTheme="minorHAnsi" w:hAnsiTheme="minorHAnsi"/>
                <w:i/>
                <w:sz w:val="22"/>
              </w:rPr>
            </w:pPr>
            <w:r w:rsidRPr="00D6564C">
              <w:rPr>
                <w:rFonts w:asciiTheme="minorHAnsi" w:hAnsiTheme="minorHAnsi"/>
                <w:i/>
                <w:sz w:val="22"/>
              </w:rPr>
              <w:t>$16.94</w:t>
            </w:r>
          </w:p>
        </w:tc>
      </w:tr>
      <w:tr w:rsidR="00AF0282" w:rsidRPr="00D6564C" w:rsidTr="00762A52">
        <w:tc>
          <w:tcPr>
            <w:tcW w:w="942" w:type="dxa"/>
          </w:tcPr>
          <w:p w:rsidR="00AF0282" w:rsidRPr="00D6564C" w:rsidRDefault="00AF0282" w:rsidP="00762A52">
            <w:pPr>
              <w:jc w:val="center"/>
              <w:rPr>
                <w:rFonts w:asciiTheme="minorHAnsi" w:hAnsiTheme="minorHAnsi"/>
                <w:i/>
                <w:sz w:val="22"/>
              </w:rPr>
            </w:pPr>
            <w:r w:rsidRPr="00D6564C">
              <w:rPr>
                <w:rFonts w:asciiTheme="minorHAnsi" w:hAnsiTheme="minorHAnsi"/>
                <w:i/>
                <w:sz w:val="22"/>
              </w:rPr>
              <w:t>2021</w:t>
            </w:r>
          </w:p>
        </w:tc>
        <w:tc>
          <w:tcPr>
            <w:tcW w:w="3738" w:type="dxa"/>
          </w:tcPr>
          <w:p w:rsidR="00AF0282" w:rsidRPr="00D6564C" w:rsidRDefault="00AF0282" w:rsidP="00762A52">
            <w:pPr>
              <w:jc w:val="center"/>
              <w:rPr>
                <w:rFonts w:asciiTheme="minorHAnsi" w:hAnsiTheme="minorHAnsi"/>
                <w:i/>
                <w:sz w:val="22"/>
              </w:rPr>
            </w:pPr>
            <w:r w:rsidRPr="00D6564C">
              <w:rPr>
                <w:rFonts w:asciiTheme="minorHAnsi" w:hAnsiTheme="minorHAnsi"/>
                <w:i/>
                <w:sz w:val="22"/>
              </w:rPr>
              <w:t>$17.88</w:t>
            </w:r>
          </w:p>
        </w:tc>
      </w:tr>
      <w:tr w:rsidR="00AF0282" w:rsidRPr="00D6564C" w:rsidTr="00762A52">
        <w:tc>
          <w:tcPr>
            <w:tcW w:w="942" w:type="dxa"/>
          </w:tcPr>
          <w:p w:rsidR="00AF0282" w:rsidRPr="00D6564C" w:rsidRDefault="00AF0282" w:rsidP="00762A52">
            <w:pPr>
              <w:jc w:val="center"/>
              <w:rPr>
                <w:rFonts w:asciiTheme="minorHAnsi" w:hAnsiTheme="minorHAnsi"/>
                <w:i/>
                <w:sz w:val="22"/>
              </w:rPr>
            </w:pPr>
            <w:r w:rsidRPr="00D6564C">
              <w:rPr>
                <w:rFonts w:asciiTheme="minorHAnsi" w:hAnsiTheme="minorHAnsi"/>
                <w:i/>
                <w:sz w:val="22"/>
              </w:rPr>
              <w:t>2022</w:t>
            </w:r>
          </w:p>
        </w:tc>
        <w:tc>
          <w:tcPr>
            <w:tcW w:w="3738" w:type="dxa"/>
          </w:tcPr>
          <w:p w:rsidR="00AF0282" w:rsidRPr="00D6564C" w:rsidRDefault="00AF0282" w:rsidP="00762A52">
            <w:pPr>
              <w:jc w:val="center"/>
              <w:rPr>
                <w:rFonts w:asciiTheme="minorHAnsi" w:hAnsiTheme="minorHAnsi"/>
                <w:i/>
                <w:sz w:val="22"/>
              </w:rPr>
            </w:pPr>
            <w:r w:rsidRPr="00D6564C">
              <w:rPr>
                <w:rFonts w:asciiTheme="minorHAnsi" w:hAnsiTheme="minorHAnsi"/>
                <w:i/>
                <w:sz w:val="22"/>
              </w:rPr>
              <w:t>$18.86</w:t>
            </w:r>
          </w:p>
        </w:tc>
      </w:tr>
      <w:tr w:rsidR="00AF0282" w:rsidRPr="00D6564C" w:rsidTr="00762A52">
        <w:tc>
          <w:tcPr>
            <w:tcW w:w="942" w:type="dxa"/>
          </w:tcPr>
          <w:p w:rsidR="00AF0282" w:rsidRPr="00D6564C" w:rsidRDefault="00AF0282" w:rsidP="00762A52">
            <w:pPr>
              <w:jc w:val="center"/>
              <w:rPr>
                <w:rFonts w:asciiTheme="minorHAnsi" w:hAnsiTheme="minorHAnsi"/>
                <w:i/>
                <w:sz w:val="22"/>
              </w:rPr>
            </w:pPr>
            <w:r w:rsidRPr="00D6564C">
              <w:rPr>
                <w:rFonts w:asciiTheme="minorHAnsi" w:hAnsiTheme="minorHAnsi"/>
                <w:i/>
                <w:sz w:val="22"/>
              </w:rPr>
              <w:t>2023</w:t>
            </w:r>
          </w:p>
        </w:tc>
        <w:tc>
          <w:tcPr>
            <w:tcW w:w="3738" w:type="dxa"/>
          </w:tcPr>
          <w:p w:rsidR="00AF0282" w:rsidRPr="00D6564C" w:rsidRDefault="00AF0282" w:rsidP="00762A52">
            <w:pPr>
              <w:jc w:val="center"/>
              <w:rPr>
                <w:rFonts w:asciiTheme="minorHAnsi" w:hAnsiTheme="minorHAnsi"/>
                <w:i/>
                <w:sz w:val="22"/>
              </w:rPr>
            </w:pPr>
            <w:r w:rsidRPr="00D6564C">
              <w:rPr>
                <w:rFonts w:asciiTheme="minorHAnsi" w:hAnsiTheme="minorHAnsi"/>
                <w:i/>
                <w:sz w:val="22"/>
              </w:rPr>
              <w:t>$19.91</w:t>
            </w:r>
          </w:p>
        </w:tc>
      </w:tr>
      <w:tr w:rsidR="00AF0282" w:rsidRPr="00D6564C" w:rsidTr="00762A52">
        <w:tc>
          <w:tcPr>
            <w:tcW w:w="942" w:type="dxa"/>
          </w:tcPr>
          <w:p w:rsidR="00AF0282" w:rsidRPr="00D6564C" w:rsidRDefault="00AF0282" w:rsidP="00762A52">
            <w:pPr>
              <w:jc w:val="center"/>
              <w:rPr>
                <w:rFonts w:asciiTheme="minorHAnsi" w:hAnsiTheme="minorHAnsi"/>
                <w:i/>
                <w:sz w:val="22"/>
              </w:rPr>
            </w:pPr>
            <w:r w:rsidRPr="00D6564C">
              <w:rPr>
                <w:rFonts w:asciiTheme="minorHAnsi" w:hAnsiTheme="minorHAnsi"/>
                <w:i/>
                <w:sz w:val="22"/>
              </w:rPr>
              <w:t>2024</w:t>
            </w:r>
          </w:p>
        </w:tc>
        <w:tc>
          <w:tcPr>
            <w:tcW w:w="3738" w:type="dxa"/>
          </w:tcPr>
          <w:p w:rsidR="00AF0282" w:rsidRPr="00D6564C" w:rsidRDefault="00AF0282" w:rsidP="00762A52">
            <w:pPr>
              <w:jc w:val="center"/>
              <w:rPr>
                <w:rFonts w:asciiTheme="minorHAnsi" w:hAnsiTheme="minorHAnsi"/>
                <w:i/>
                <w:sz w:val="22"/>
              </w:rPr>
            </w:pPr>
            <w:r w:rsidRPr="00D6564C">
              <w:rPr>
                <w:rFonts w:asciiTheme="minorHAnsi" w:hAnsiTheme="minorHAnsi"/>
                <w:i/>
                <w:sz w:val="22"/>
              </w:rPr>
              <w:t>$21.02</w:t>
            </w:r>
          </w:p>
        </w:tc>
      </w:tr>
      <w:tr w:rsidR="00AF0282" w:rsidRPr="00D6564C" w:rsidTr="00762A52">
        <w:tc>
          <w:tcPr>
            <w:tcW w:w="942" w:type="dxa"/>
          </w:tcPr>
          <w:p w:rsidR="00AF0282" w:rsidRPr="00D6564C" w:rsidRDefault="00AF0282" w:rsidP="00762A52">
            <w:pPr>
              <w:jc w:val="center"/>
              <w:rPr>
                <w:rFonts w:asciiTheme="minorHAnsi" w:hAnsiTheme="minorHAnsi"/>
                <w:i/>
                <w:sz w:val="22"/>
              </w:rPr>
            </w:pPr>
            <w:r w:rsidRPr="00D6564C">
              <w:rPr>
                <w:rFonts w:asciiTheme="minorHAnsi" w:hAnsiTheme="minorHAnsi"/>
                <w:i/>
                <w:sz w:val="22"/>
              </w:rPr>
              <w:t>2025</w:t>
            </w:r>
          </w:p>
        </w:tc>
        <w:tc>
          <w:tcPr>
            <w:tcW w:w="3738" w:type="dxa"/>
          </w:tcPr>
          <w:p w:rsidR="00AF0282" w:rsidRPr="00D6564C" w:rsidRDefault="00AF0282" w:rsidP="00762A52">
            <w:pPr>
              <w:jc w:val="center"/>
              <w:rPr>
                <w:rFonts w:asciiTheme="minorHAnsi" w:hAnsiTheme="minorHAnsi"/>
                <w:i/>
                <w:sz w:val="22"/>
              </w:rPr>
            </w:pPr>
            <w:r w:rsidRPr="00D6564C">
              <w:rPr>
                <w:rFonts w:asciiTheme="minorHAnsi" w:hAnsiTheme="minorHAnsi"/>
                <w:i/>
                <w:sz w:val="22"/>
              </w:rPr>
              <w:t>$22.19</w:t>
            </w:r>
          </w:p>
        </w:tc>
      </w:tr>
      <w:tr w:rsidR="00AF0282" w:rsidRPr="00D6564C" w:rsidTr="00762A52">
        <w:tc>
          <w:tcPr>
            <w:tcW w:w="942" w:type="dxa"/>
          </w:tcPr>
          <w:p w:rsidR="00AF0282" w:rsidRPr="00D6564C" w:rsidRDefault="00AF0282" w:rsidP="00762A52">
            <w:pPr>
              <w:jc w:val="center"/>
              <w:rPr>
                <w:rFonts w:asciiTheme="minorHAnsi" w:hAnsiTheme="minorHAnsi"/>
                <w:i/>
                <w:sz w:val="22"/>
              </w:rPr>
            </w:pPr>
            <w:r w:rsidRPr="00D6564C">
              <w:rPr>
                <w:rFonts w:asciiTheme="minorHAnsi" w:hAnsiTheme="minorHAnsi"/>
                <w:i/>
                <w:sz w:val="22"/>
              </w:rPr>
              <w:t>2026</w:t>
            </w:r>
          </w:p>
        </w:tc>
        <w:tc>
          <w:tcPr>
            <w:tcW w:w="3738" w:type="dxa"/>
          </w:tcPr>
          <w:p w:rsidR="00AF0282" w:rsidRPr="00D6564C" w:rsidRDefault="00AF0282" w:rsidP="00762A52">
            <w:pPr>
              <w:jc w:val="center"/>
              <w:rPr>
                <w:rFonts w:asciiTheme="minorHAnsi" w:hAnsiTheme="minorHAnsi"/>
                <w:i/>
                <w:sz w:val="22"/>
              </w:rPr>
            </w:pPr>
            <w:r w:rsidRPr="00D6564C">
              <w:rPr>
                <w:rFonts w:asciiTheme="minorHAnsi" w:hAnsiTheme="minorHAnsi"/>
                <w:i/>
                <w:sz w:val="22"/>
              </w:rPr>
              <w:t>$23.44</w:t>
            </w:r>
          </w:p>
        </w:tc>
      </w:tr>
      <w:tr w:rsidR="00AF0282" w:rsidRPr="00D6564C" w:rsidTr="00762A52">
        <w:tc>
          <w:tcPr>
            <w:tcW w:w="942" w:type="dxa"/>
          </w:tcPr>
          <w:p w:rsidR="00AF0282" w:rsidRPr="00D6564C" w:rsidRDefault="00AF0282" w:rsidP="00762A52">
            <w:pPr>
              <w:jc w:val="center"/>
              <w:rPr>
                <w:rFonts w:asciiTheme="minorHAnsi" w:hAnsiTheme="minorHAnsi"/>
                <w:i/>
                <w:sz w:val="22"/>
              </w:rPr>
            </w:pPr>
            <w:r w:rsidRPr="00D6564C">
              <w:rPr>
                <w:rFonts w:asciiTheme="minorHAnsi" w:hAnsiTheme="minorHAnsi"/>
                <w:i/>
                <w:sz w:val="22"/>
              </w:rPr>
              <w:t>2027</w:t>
            </w:r>
          </w:p>
        </w:tc>
        <w:tc>
          <w:tcPr>
            <w:tcW w:w="3738" w:type="dxa"/>
          </w:tcPr>
          <w:p w:rsidR="00AF0282" w:rsidRPr="00D6564C" w:rsidRDefault="00AF0282" w:rsidP="00762A52">
            <w:pPr>
              <w:jc w:val="center"/>
              <w:rPr>
                <w:rFonts w:asciiTheme="minorHAnsi" w:hAnsiTheme="minorHAnsi"/>
                <w:i/>
                <w:sz w:val="22"/>
              </w:rPr>
            </w:pPr>
            <w:r w:rsidRPr="00D6564C">
              <w:rPr>
                <w:rFonts w:asciiTheme="minorHAnsi" w:hAnsiTheme="minorHAnsi"/>
                <w:i/>
                <w:sz w:val="22"/>
              </w:rPr>
              <w:t>$55.08</w:t>
            </w:r>
          </w:p>
        </w:tc>
      </w:tr>
      <w:tr w:rsidR="00AF0282" w:rsidRPr="00D6564C" w:rsidTr="00762A52">
        <w:tc>
          <w:tcPr>
            <w:tcW w:w="942" w:type="dxa"/>
          </w:tcPr>
          <w:p w:rsidR="00AF0282" w:rsidRPr="00D6564C" w:rsidRDefault="00AF0282" w:rsidP="00762A52">
            <w:pPr>
              <w:jc w:val="center"/>
              <w:rPr>
                <w:rFonts w:asciiTheme="minorHAnsi" w:hAnsiTheme="minorHAnsi"/>
                <w:i/>
                <w:sz w:val="22"/>
              </w:rPr>
            </w:pPr>
            <w:r w:rsidRPr="00D6564C">
              <w:rPr>
                <w:rFonts w:asciiTheme="minorHAnsi" w:hAnsiTheme="minorHAnsi"/>
                <w:i/>
                <w:sz w:val="22"/>
              </w:rPr>
              <w:t>2028</w:t>
            </w:r>
          </w:p>
        </w:tc>
        <w:tc>
          <w:tcPr>
            <w:tcW w:w="3738" w:type="dxa"/>
          </w:tcPr>
          <w:p w:rsidR="00AF0282" w:rsidRPr="00D6564C" w:rsidRDefault="00AF0282" w:rsidP="00762A52">
            <w:pPr>
              <w:jc w:val="center"/>
              <w:rPr>
                <w:rFonts w:asciiTheme="minorHAnsi" w:hAnsiTheme="minorHAnsi"/>
                <w:i/>
                <w:sz w:val="22"/>
              </w:rPr>
            </w:pPr>
            <w:r w:rsidRPr="00D6564C">
              <w:rPr>
                <w:rFonts w:asciiTheme="minorHAnsi" w:hAnsiTheme="minorHAnsi"/>
                <w:i/>
                <w:sz w:val="22"/>
              </w:rPr>
              <w:t>$86.72</w:t>
            </w:r>
          </w:p>
        </w:tc>
      </w:tr>
      <w:tr w:rsidR="00AF0282" w:rsidRPr="00D6564C" w:rsidTr="00762A52">
        <w:tc>
          <w:tcPr>
            <w:tcW w:w="942" w:type="dxa"/>
          </w:tcPr>
          <w:p w:rsidR="00AF0282" w:rsidRPr="00D6564C" w:rsidRDefault="00AF0282" w:rsidP="00762A52">
            <w:pPr>
              <w:jc w:val="center"/>
              <w:rPr>
                <w:rFonts w:asciiTheme="minorHAnsi" w:hAnsiTheme="minorHAnsi"/>
                <w:i/>
                <w:sz w:val="22"/>
              </w:rPr>
            </w:pPr>
            <w:r w:rsidRPr="00D6564C">
              <w:rPr>
                <w:rFonts w:asciiTheme="minorHAnsi" w:hAnsiTheme="minorHAnsi"/>
                <w:i/>
                <w:sz w:val="22"/>
              </w:rPr>
              <w:t>2029</w:t>
            </w:r>
          </w:p>
        </w:tc>
        <w:tc>
          <w:tcPr>
            <w:tcW w:w="3738" w:type="dxa"/>
          </w:tcPr>
          <w:p w:rsidR="00AF0282" w:rsidRPr="00D6564C" w:rsidRDefault="00AF0282" w:rsidP="00762A52">
            <w:pPr>
              <w:jc w:val="center"/>
              <w:rPr>
                <w:rFonts w:asciiTheme="minorHAnsi" w:hAnsiTheme="minorHAnsi"/>
                <w:i/>
                <w:sz w:val="22"/>
              </w:rPr>
            </w:pPr>
            <w:r w:rsidRPr="00D6564C">
              <w:rPr>
                <w:rFonts w:asciiTheme="minorHAnsi" w:hAnsiTheme="minorHAnsi"/>
                <w:i/>
                <w:sz w:val="22"/>
              </w:rPr>
              <w:t>$118.36</w:t>
            </w:r>
          </w:p>
        </w:tc>
      </w:tr>
      <w:tr w:rsidR="00AF0282" w:rsidRPr="00D6564C" w:rsidTr="00762A52">
        <w:tc>
          <w:tcPr>
            <w:tcW w:w="942" w:type="dxa"/>
          </w:tcPr>
          <w:p w:rsidR="00AF0282" w:rsidRPr="00D6564C" w:rsidRDefault="00AF0282" w:rsidP="00762A52">
            <w:pPr>
              <w:jc w:val="center"/>
              <w:rPr>
                <w:rFonts w:asciiTheme="minorHAnsi" w:hAnsiTheme="minorHAnsi"/>
                <w:i/>
                <w:sz w:val="22"/>
              </w:rPr>
            </w:pPr>
            <w:r w:rsidRPr="00D6564C">
              <w:rPr>
                <w:rFonts w:asciiTheme="minorHAnsi" w:hAnsiTheme="minorHAnsi"/>
                <w:i/>
                <w:sz w:val="22"/>
              </w:rPr>
              <w:t>2030</w:t>
            </w:r>
          </w:p>
        </w:tc>
        <w:tc>
          <w:tcPr>
            <w:tcW w:w="3738" w:type="dxa"/>
          </w:tcPr>
          <w:p w:rsidR="00AF0282" w:rsidRPr="00D6564C" w:rsidRDefault="00AF0282" w:rsidP="00762A52">
            <w:pPr>
              <w:jc w:val="center"/>
              <w:rPr>
                <w:rFonts w:asciiTheme="minorHAnsi" w:hAnsiTheme="minorHAnsi"/>
                <w:i/>
                <w:sz w:val="22"/>
              </w:rPr>
            </w:pPr>
            <w:r w:rsidRPr="00D6564C">
              <w:rPr>
                <w:rFonts w:asciiTheme="minorHAnsi" w:hAnsiTheme="minorHAnsi"/>
                <w:i/>
                <w:sz w:val="22"/>
              </w:rPr>
              <w:t>$150.00</w:t>
            </w:r>
          </w:p>
        </w:tc>
      </w:tr>
    </w:tbl>
    <w:p w:rsidR="00AF0282" w:rsidRPr="00D6564C" w:rsidRDefault="00AF0282" w:rsidP="00AF0282">
      <w:pPr>
        <w:spacing w:after="200" w:line="276" w:lineRule="auto"/>
        <w:rPr>
          <w:rFonts w:asciiTheme="minorHAnsi" w:eastAsiaTheme="minorHAnsi" w:hAnsiTheme="minorHAnsi" w:cstheme="minorBidi"/>
          <w:i/>
          <w:sz w:val="22"/>
          <w:szCs w:val="22"/>
        </w:rPr>
      </w:pPr>
    </w:p>
    <w:p w:rsidR="00AF0282" w:rsidRPr="00D6564C" w:rsidRDefault="00AF0282" w:rsidP="00AF0282">
      <w:pPr>
        <w:spacing w:after="200" w:line="276" w:lineRule="auto"/>
        <w:rPr>
          <w:rFonts w:asciiTheme="minorHAnsi" w:eastAsiaTheme="minorHAnsi" w:hAnsiTheme="minorHAnsi" w:cstheme="minorBidi"/>
          <w:i/>
          <w:sz w:val="22"/>
          <w:szCs w:val="22"/>
          <w:u w:val="single"/>
        </w:rPr>
      </w:pPr>
      <w:r w:rsidRPr="00D6564C">
        <w:rPr>
          <w:rFonts w:asciiTheme="minorHAnsi" w:eastAsiaTheme="minorHAnsi" w:hAnsiTheme="minorHAnsi" w:cstheme="minorBidi"/>
          <w:b/>
          <w:i/>
          <w:sz w:val="22"/>
          <w:szCs w:val="22"/>
          <w:u w:val="single"/>
        </w:rPr>
        <w:t>GHG Emissions Benchmark</w:t>
      </w:r>
    </w:p>
    <w:p w:rsidR="00AF0282" w:rsidRPr="00D6564C" w:rsidRDefault="00AF0282" w:rsidP="00AF0282">
      <w:pPr>
        <w:spacing w:after="12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xml:space="preserve">LSEs electing to use the LSE-specific GHG Emissions Benchmark—rather than the GHG Planning Price—in developing their portfolio(s) must use the 2030 value </w:t>
      </w:r>
      <w:r w:rsidR="00853F2F">
        <w:rPr>
          <w:rFonts w:ascii="Calibri" w:eastAsia="Calibri" w:hAnsi="Calibri" w:cs="Calibri"/>
          <w:i/>
          <w:sz w:val="22"/>
          <w:szCs w:val="22"/>
        </w:rPr>
        <w:t>assigned to the LSE in the most recent ALJ ruling</w:t>
      </w:r>
      <w:r w:rsidRPr="00D6564C">
        <w:rPr>
          <w:rFonts w:asciiTheme="minorHAnsi" w:eastAsiaTheme="minorHAnsi" w:hAnsiTheme="minorHAnsi" w:cstheme="minorBidi"/>
          <w:i/>
          <w:sz w:val="22"/>
          <w:szCs w:val="22"/>
        </w:rPr>
        <w:t>.</w:t>
      </w:r>
    </w:p>
    <w:p w:rsidR="00AF0282" w:rsidRPr="00D6564C" w:rsidRDefault="00AF0282" w:rsidP="00AF0282">
      <w:pPr>
        <w:spacing w:after="12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If the total emissions attributable to the LSE’s Preferred Portfolio exceed its GHG Emissions Benchmark for 2030, the LSE must explain the difference and describe additional measures it would take over the following 1-3 years to close the gap, along with the estimated cost of those measures.</w:t>
      </w:r>
    </w:p>
    <w:p w:rsidR="00AF0282" w:rsidRDefault="00AF0282" w:rsidP="00AF0282">
      <w:pPr>
        <w:spacing w:after="12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Each ESP is required to calculate its own confidential GHG Emissions Benchmark based on its 2030 load share within the host EDU’s territory</w:t>
      </w:r>
      <w:r w:rsidR="001F71BA">
        <w:rPr>
          <w:rFonts w:asciiTheme="minorHAnsi" w:eastAsiaTheme="minorHAnsi" w:hAnsiTheme="minorHAnsi" w:cstheme="minorBidi"/>
          <w:i/>
          <w:sz w:val="22"/>
          <w:szCs w:val="22"/>
        </w:rPr>
        <w:t xml:space="preserve">, consistent with </w:t>
      </w:r>
      <w:r w:rsidR="001F71BA" w:rsidRPr="001F71BA">
        <w:rPr>
          <w:rFonts w:asciiTheme="minorHAnsi" w:eastAsiaTheme="minorHAnsi" w:hAnsiTheme="minorHAnsi" w:cstheme="minorBidi"/>
          <w:i/>
          <w:sz w:val="22"/>
          <w:szCs w:val="22"/>
        </w:rPr>
        <w:t xml:space="preserve">instructions </w:t>
      </w:r>
      <w:r w:rsidR="001F71BA">
        <w:rPr>
          <w:rFonts w:asciiTheme="minorHAnsi" w:eastAsiaTheme="minorHAnsi" w:hAnsiTheme="minorHAnsi" w:cstheme="minorBidi"/>
          <w:i/>
          <w:sz w:val="22"/>
          <w:szCs w:val="22"/>
        </w:rPr>
        <w:t>provided in D.18-02-018</w:t>
      </w:r>
      <w:r w:rsidRPr="00D6564C">
        <w:rPr>
          <w:rFonts w:asciiTheme="minorHAnsi" w:eastAsiaTheme="minorHAnsi" w:hAnsiTheme="minorHAnsi" w:cstheme="minorBidi"/>
          <w:i/>
          <w:sz w:val="22"/>
          <w:szCs w:val="22"/>
        </w:rPr>
        <w:t>. For ESPs that serve load in more than one IOU service territory, those ESPs should add up the separate GHG Emissions Benchmarks calculated based on its share of direct access load for each IOU service territory to result in a single benchmark.</w:t>
      </w:r>
    </w:p>
    <w:p w:rsidR="00853F2F" w:rsidRPr="00D6564C" w:rsidRDefault="00853F2F" w:rsidP="00AF0282">
      <w:pPr>
        <w:spacing w:after="120" w:line="276" w:lineRule="auto"/>
        <w:rPr>
          <w:rFonts w:asciiTheme="minorHAnsi" w:eastAsiaTheme="minorHAnsi" w:hAnsiTheme="minorHAnsi" w:cstheme="minorBidi"/>
          <w:i/>
          <w:sz w:val="22"/>
          <w:szCs w:val="22"/>
        </w:rPr>
      </w:pPr>
    </w:p>
    <w:p w:rsidR="00AF0282" w:rsidRPr="00D6564C" w:rsidRDefault="00AF0282" w:rsidP="00AF0282">
      <w:pPr>
        <w:spacing w:after="200" w:line="276" w:lineRule="auto"/>
        <w:rPr>
          <w:rFonts w:asciiTheme="minorHAnsi" w:eastAsiaTheme="minorHAnsi" w:hAnsiTheme="minorHAnsi" w:cstheme="minorBidi"/>
          <w:i/>
          <w:sz w:val="22"/>
          <w:szCs w:val="22"/>
          <w:u w:val="single"/>
        </w:rPr>
      </w:pPr>
      <w:r w:rsidRPr="00D6564C">
        <w:rPr>
          <w:rFonts w:asciiTheme="minorHAnsi" w:eastAsiaTheme="minorHAnsi" w:hAnsiTheme="minorHAnsi" w:cstheme="minorBidi"/>
          <w:b/>
          <w:i/>
          <w:sz w:val="22"/>
          <w:szCs w:val="22"/>
          <w:u w:val="single"/>
        </w:rPr>
        <w:t>GHG Accounting in IRP Planning</w:t>
      </w:r>
    </w:p>
    <w:p w:rsidR="001C110E" w:rsidRPr="00D6564C" w:rsidRDefault="001F71BA" w:rsidP="00AF0282">
      <w:pPr>
        <w:spacing w:after="120" w:line="276" w:lineRule="auto"/>
        <w:rPr>
          <w:rFonts w:asciiTheme="minorHAnsi" w:eastAsiaTheme="minorHAnsi" w:hAnsiTheme="minorHAnsi" w:cstheme="minorBidi"/>
          <w:i/>
          <w:sz w:val="22"/>
          <w:szCs w:val="22"/>
        </w:rPr>
      </w:pPr>
      <w:r>
        <w:rPr>
          <w:rFonts w:asciiTheme="minorHAnsi" w:eastAsiaTheme="minorHAnsi" w:hAnsiTheme="minorHAnsi" w:cstheme="minorBidi"/>
          <w:i/>
          <w:sz w:val="22"/>
          <w:szCs w:val="22"/>
        </w:rPr>
        <w:t xml:space="preserve">LSEs should use the </w:t>
      </w:r>
      <w:r w:rsidRPr="001F71BA">
        <w:rPr>
          <w:rFonts w:asciiTheme="minorHAnsi" w:eastAsiaTheme="minorHAnsi" w:hAnsiTheme="minorHAnsi" w:cstheme="minorBidi"/>
          <w:i/>
          <w:sz w:val="22"/>
          <w:szCs w:val="22"/>
        </w:rPr>
        <w:t>Clean Net Short Methodology</w:t>
      </w:r>
      <w:r>
        <w:rPr>
          <w:rFonts w:asciiTheme="minorHAnsi" w:eastAsiaTheme="minorHAnsi" w:hAnsiTheme="minorHAnsi" w:cstheme="minorBidi"/>
          <w:i/>
          <w:sz w:val="22"/>
          <w:szCs w:val="22"/>
        </w:rPr>
        <w:t xml:space="preserve"> and calculator tool for GHG accounting</w:t>
      </w:r>
      <w:r w:rsidR="00F737E9">
        <w:rPr>
          <w:rFonts w:ascii="Calibri" w:eastAsia="Calibri" w:hAnsi="Calibri" w:cs="Calibri"/>
          <w:i/>
          <w:sz w:val="22"/>
          <w:szCs w:val="22"/>
        </w:rPr>
        <w:t>.</w:t>
      </w:r>
    </w:p>
    <w:p w:rsidR="00AF0282" w:rsidRPr="00D6564C" w:rsidRDefault="00AF0282" w:rsidP="00AF0282">
      <w:pPr>
        <w:keepNext/>
        <w:keepLines/>
        <w:numPr>
          <w:ilvl w:val="1"/>
          <w:numId w:val="1"/>
        </w:numPr>
        <w:spacing w:before="480" w:after="240" w:line="276" w:lineRule="auto"/>
        <w:ind w:left="864" w:hanging="504"/>
        <w:outlineLvl w:val="1"/>
        <w:rPr>
          <w:rFonts w:asciiTheme="majorHAnsi" w:eastAsiaTheme="majorEastAsia" w:hAnsiTheme="majorHAnsi" w:cstheme="majorBidi"/>
          <w:b/>
          <w:bCs/>
          <w:sz w:val="24"/>
          <w:szCs w:val="28"/>
        </w:rPr>
      </w:pPr>
      <w:bookmarkStart w:id="5" w:name="_Toc500329342"/>
      <w:bookmarkStart w:id="6" w:name="_Toc500430338"/>
      <w:bookmarkStart w:id="7" w:name="_Toc501375920"/>
      <w:bookmarkEnd w:id="5"/>
      <w:bookmarkEnd w:id="6"/>
      <w:r w:rsidRPr="00D6564C">
        <w:rPr>
          <w:rFonts w:asciiTheme="majorHAnsi" w:eastAsiaTheme="majorEastAsia" w:hAnsiTheme="majorHAnsi" w:cstheme="majorBidi"/>
          <w:b/>
          <w:bCs/>
          <w:sz w:val="24"/>
          <w:szCs w:val="28"/>
        </w:rPr>
        <w:t>Objectives</w:t>
      </w:r>
      <w:bookmarkEnd w:id="7"/>
    </w:p>
    <w:p w:rsidR="00AF0282" w:rsidRPr="00D6564C" w:rsidRDefault="00AF0282" w:rsidP="00AF0282">
      <w:pPr>
        <w:spacing w:after="200" w:line="276" w:lineRule="auto"/>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Provide a description of the LSE’s objectives for the analytical work it is documenting in the IRP.</w:t>
      </w:r>
    </w:p>
    <w:p w:rsidR="00AF0282" w:rsidRPr="00D6564C" w:rsidRDefault="00AF0282" w:rsidP="00AF0282">
      <w:pPr>
        <w:keepNext/>
        <w:keepLines/>
        <w:numPr>
          <w:ilvl w:val="1"/>
          <w:numId w:val="1"/>
        </w:numPr>
        <w:spacing w:before="480" w:after="240" w:line="276" w:lineRule="auto"/>
        <w:ind w:left="864" w:hanging="504"/>
        <w:outlineLvl w:val="1"/>
        <w:rPr>
          <w:rFonts w:asciiTheme="majorHAnsi" w:eastAsiaTheme="majorEastAsia" w:hAnsiTheme="majorHAnsi" w:cstheme="majorBidi"/>
          <w:b/>
          <w:bCs/>
          <w:sz w:val="24"/>
          <w:szCs w:val="28"/>
        </w:rPr>
      </w:pPr>
      <w:bookmarkStart w:id="8" w:name="_Toc501375921"/>
      <w:r w:rsidRPr="00D6564C">
        <w:rPr>
          <w:rFonts w:asciiTheme="majorHAnsi" w:eastAsiaTheme="majorEastAsia" w:hAnsiTheme="majorHAnsi" w:cstheme="majorBidi"/>
          <w:b/>
          <w:bCs/>
          <w:sz w:val="24"/>
          <w:szCs w:val="28"/>
        </w:rPr>
        <w:lastRenderedPageBreak/>
        <w:t>Methodology</w:t>
      </w:r>
      <w:bookmarkEnd w:id="8"/>
    </w:p>
    <w:p w:rsidR="00AF0282" w:rsidRPr="00D6564C" w:rsidRDefault="00AF0282" w:rsidP="00AF0282">
      <w:pPr>
        <w:keepNext/>
        <w:keepLines/>
        <w:numPr>
          <w:ilvl w:val="2"/>
          <w:numId w:val="1"/>
        </w:numPr>
        <w:spacing w:before="480" w:after="240" w:line="276" w:lineRule="auto"/>
        <w:ind w:left="1584"/>
        <w:outlineLvl w:val="2"/>
        <w:rPr>
          <w:rFonts w:asciiTheme="majorHAnsi" w:eastAsiaTheme="majorEastAsia" w:hAnsiTheme="majorHAnsi" w:cstheme="majorBidi"/>
          <w:b/>
          <w:bCs/>
          <w:sz w:val="22"/>
          <w:szCs w:val="28"/>
        </w:rPr>
      </w:pPr>
      <w:bookmarkStart w:id="9" w:name="_Toc500329345"/>
      <w:bookmarkStart w:id="10" w:name="_Toc500430341"/>
      <w:bookmarkStart w:id="11" w:name="_Toc500329346"/>
      <w:bookmarkStart w:id="12" w:name="_Toc500430342"/>
      <w:bookmarkStart w:id="13" w:name="_Toc501375922"/>
      <w:bookmarkEnd w:id="9"/>
      <w:bookmarkEnd w:id="10"/>
      <w:bookmarkEnd w:id="11"/>
      <w:bookmarkEnd w:id="12"/>
      <w:r w:rsidRPr="00D6564C">
        <w:rPr>
          <w:rFonts w:asciiTheme="majorHAnsi" w:eastAsiaTheme="majorEastAsia" w:hAnsiTheme="majorHAnsi" w:cstheme="majorBidi"/>
          <w:b/>
          <w:bCs/>
          <w:sz w:val="22"/>
          <w:szCs w:val="28"/>
        </w:rPr>
        <w:t>Modeling Tool(s)</w:t>
      </w:r>
      <w:bookmarkEnd w:id="13"/>
    </w:p>
    <w:p w:rsidR="00AF0282" w:rsidRPr="00D6564C" w:rsidRDefault="00AF0282" w:rsidP="00AF0282">
      <w:pPr>
        <w:spacing w:after="200" w:line="276" w:lineRule="auto"/>
        <w:ind w:left="90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Name all modeling software used by LSE to develop its IRP, if any, and include the vendor and version number. Provide an explanation of differences between the LSE’s modeling tool and RESOLVE, and an explanation of how those differences should be considered during evaluation of the LSE’s portfolio(s).</w:t>
      </w:r>
    </w:p>
    <w:p w:rsidR="00AF0282" w:rsidRPr="00D6564C" w:rsidRDefault="00AF0282" w:rsidP="00AF0282">
      <w:pPr>
        <w:keepNext/>
        <w:keepLines/>
        <w:numPr>
          <w:ilvl w:val="2"/>
          <w:numId w:val="1"/>
        </w:numPr>
        <w:spacing w:before="480" w:after="240" w:line="276" w:lineRule="auto"/>
        <w:ind w:left="1584"/>
        <w:outlineLvl w:val="2"/>
        <w:rPr>
          <w:rFonts w:asciiTheme="majorHAnsi" w:eastAsiaTheme="majorEastAsia" w:hAnsiTheme="majorHAnsi" w:cstheme="majorBidi"/>
          <w:b/>
          <w:bCs/>
          <w:sz w:val="22"/>
          <w:szCs w:val="28"/>
        </w:rPr>
      </w:pPr>
      <w:bookmarkStart w:id="14" w:name="_Toc501375923"/>
      <w:r w:rsidRPr="00D6564C">
        <w:rPr>
          <w:rFonts w:asciiTheme="majorHAnsi" w:eastAsiaTheme="majorEastAsia" w:hAnsiTheme="majorHAnsi" w:cstheme="majorBidi"/>
          <w:b/>
          <w:bCs/>
          <w:sz w:val="22"/>
          <w:szCs w:val="28"/>
        </w:rPr>
        <w:t>Modeling Approach</w:t>
      </w:r>
      <w:bookmarkEnd w:id="14"/>
    </w:p>
    <w:p w:rsidR="00AF0282" w:rsidRPr="00D6564C" w:rsidRDefault="00AF0282" w:rsidP="00AF0282">
      <w:pPr>
        <w:spacing w:after="200" w:line="276" w:lineRule="auto"/>
        <w:ind w:left="90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xml:space="preserve">Describe the LSE’s overall approach to developing the scenarios it evaluated, and explain why each scenario was considered. Also describe any calculations, including post-processing calculations, used to generate metrics for portfolio analysis. </w:t>
      </w:r>
    </w:p>
    <w:p w:rsidR="00AF0282" w:rsidRPr="00D6564C" w:rsidRDefault="00AF0282" w:rsidP="00AF0282">
      <w:pPr>
        <w:keepNext/>
        <w:keepLines/>
        <w:numPr>
          <w:ilvl w:val="2"/>
          <w:numId w:val="1"/>
        </w:numPr>
        <w:spacing w:before="480" w:after="240" w:line="276" w:lineRule="auto"/>
        <w:ind w:left="1584"/>
        <w:outlineLvl w:val="2"/>
        <w:rPr>
          <w:rFonts w:asciiTheme="majorHAnsi" w:eastAsiaTheme="majorEastAsia" w:hAnsiTheme="majorHAnsi" w:cstheme="majorBidi"/>
          <w:b/>
          <w:bCs/>
          <w:sz w:val="22"/>
          <w:szCs w:val="28"/>
        </w:rPr>
      </w:pPr>
      <w:bookmarkStart w:id="15" w:name="_Toc500329349"/>
      <w:bookmarkStart w:id="16" w:name="_Toc500430345"/>
      <w:bookmarkStart w:id="17" w:name="_Toc501375924"/>
      <w:bookmarkEnd w:id="15"/>
      <w:bookmarkEnd w:id="16"/>
      <w:r w:rsidRPr="00D6564C">
        <w:rPr>
          <w:rFonts w:asciiTheme="majorHAnsi" w:eastAsiaTheme="majorEastAsia" w:hAnsiTheme="majorHAnsi" w:cstheme="majorBidi"/>
          <w:b/>
          <w:bCs/>
          <w:sz w:val="22"/>
          <w:szCs w:val="28"/>
        </w:rPr>
        <w:t>Assumptions</w:t>
      </w:r>
      <w:bookmarkEnd w:id="17"/>
    </w:p>
    <w:p w:rsidR="00AF0282" w:rsidRDefault="00AF0282" w:rsidP="00F737E9">
      <w:pPr>
        <w:spacing w:after="200" w:line="276" w:lineRule="auto"/>
        <w:ind w:left="90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xml:space="preserve">Describe any inputs or assumptions used by the LSE that differ from the corresponding assumption used by the Commission to prepare the Reference System Plan.  Each differing assumption must include a rationale for use of this assumption and any intermediate calculations used to develop the assumption and source data with citations. Include a side-by-side comparison of the original assumption data from the Reference System Plan and the LSE’s differing assumption data.  </w:t>
      </w:r>
      <w:proofErr w:type="gramStart"/>
      <w:r w:rsidRPr="00D6564C">
        <w:rPr>
          <w:rFonts w:asciiTheme="minorHAnsi" w:eastAsiaTheme="minorHAnsi" w:hAnsiTheme="minorHAnsi" w:cstheme="minorBidi"/>
          <w:i/>
          <w:sz w:val="22"/>
          <w:szCs w:val="22"/>
        </w:rPr>
        <w:t>Report data according to the requirements in the Data section below.</w:t>
      </w:r>
      <w:proofErr w:type="gramEnd"/>
    </w:p>
    <w:p w:rsidR="007C0056" w:rsidRPr="00F737E9" w:rsidRDefault="007C0056" w:rsidP="00F737E9">
      <w:pPr>
        <w:spacing w:after="200" w:line="276" w:lineRule="auto"/>
        <w:ind w:left="900"/>
        <w:rPr>
          <w:rFonts w:asciiTheme="minorHAnsi" w:eastAsiaTheme="minorHAnsi" w:hAnsiTheme="minorHAnsi" w:cstheme="minorBidi"/>
          <w:i/>
          <w:sz w:val="22"/>
          <w:szCs w:val="22"/>
        </w:rPr>
      </w:pPr>
    </w:p>
    <w:p w:rsidR="00AF0282" w:rsidRPr="00D6564C" w:rsidRDefault="00AF0282" w:rsidP="00AF0282">
      <w:pPr>
        <w:keepNext/>
        <w:keepLines/>
        <w:numPr>
          <w:ilvl w:val="0"/>
          <w:numId w:val="1"/>
        </w:numPr>
        <w:spacing w:before="480" w:after="240" w:line="276" w:lineRule="auto"/>
        <w:ind w:left="360"/>
        <w:outlineLvl w:val="0"/>
        <w:rPr>
          <w:rFonts w:asciiTheme="majorHAnsi" w:eastAsiaTheme="majorEastAsia" w:hAnsiTheme="majorHAnsi" w:cstheme="majorBidi"/>
          <w:b/>
          <w:bCs/>
          <w:sz w:val="28"/>
          <w:szCs w:val="28"/>
        </w:rPr>
      </w:pPr>
      <w:bookmarkStart w:id="18" w:name="_Toc501375925"/>
      <w:r w:rsidRPr="00D6564C">
        <w:rPr>
          <w:rFonts w:asciiTheme="majorHAnsi" w:eastAsiaTheme="majorEastAsia" w:hAnsiTheme="majorHAnsi" w:cstheme="majorBidi"/>
          <w:b/>
          <w:bCs/>
          <w:sz w:val="28"/>
          <w:szCs w:val="28"/>
        </w:rPr>
        <w:t>Study Results</w:t>
      </w:r>
      <w:bookmarkEnd w:id="18"/>
    </w:p>
    <w:p w:rsidR="00AF0282" w:rsidRPr="00D6564C" w:rsidRDefault="00AF0282" w:rsidP="00AF0282">
      <w:pPr>
        <w:spacing w:after="20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Use this section to present the results of the analytical work described in Section 2: Study Design.</w:t>
      </w:r>
    </w:p>
    <w:p w:rsidR="00AF0282" w:rsidRPr="00D6564C" w:rsidRDefault="00AF0282" w:rsidP="00AF0282">
      <w:pPr>
        <w:keepNext/>
        <w:keepLines/>
        <w:numPr>
          <w:ilvl w:val="1"/>
          <w:numId w:val="1"/>
        </w:numPr>
        <w:spacing w:before="480" w:after="240" w:line="276" w:lineRule="auto"/>
        <w:ind w:left="864" w:hanging="504"/>
        <w:outlineLvl w:val="1"/>
        <w:rPr>
          <w:rFonts w:asciiTheme="majorHAnsi" w:eastAsiaTheme="majorEastAsia" w:hAnsiTheme="majorHAnsi" w:cstheme="majorBidi"/>
          <w:b/>
          <w:bCs/>
          <w:sz w:val="24"/>
          <w:szCs w:val="28"/>
        </w:rPr>
      </w:pPr>
      <w:bookmarkStart w:id="19" w:name="_Toc501375926"/>
      <w:r w:rsidRPr="00D6564C">
        <w:rPr>
          <w:rFonts w:asciiTheme="majorHAnsi" w:eastAsiaTheme="majorEastAsia" w:hAnsiTheme="majorHAnsi" w:cstheme="majorBidi"/>
          <w:b/>
          <w:bCs/>
          <w:sz w:val="24"/>
          <w:szCs w:val="28"/>
        </w:rPr>
        <w:t>Portfolio Results</w:t>
      </w:r>
      <w:bookmarkEnd w:id="19"/>
    </w:p>
    <w:p w:rsidR="00AF0282" w:rsidRPr="00D6564C" w:rsidRDefault="00AF0282" w:rsidP="00AF0282">
      <w:pPr>
        <w:spacing w:after="120" w:line="276" w:lineRule="auto"/>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Provide a list of all portfolios developed. Each portfolio’s content must be itemized in the Data Template Excel workbooks referenced below. A portfolio clearly identifies:</w:t>
      </w:r>
    </w:p>
    <w:p w:rsidR="00AF0282" w:rsidRPr="00D6564C" w:rsidRDefault="00AF0282" w:rsidP="00F737E9">
      <w:pPr>
        <w:numPr>
          <w:ilvl w:val="0"/>
          <w:numId w:val="4"/>
        </w:numPr>
        <w:spacing w:after="12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New resources that the LSE plans to invest in.</w:t>
      </w:r>
      <w:r w:rsidR="00DD052F">
        <w:rPr>
          <w:rFonts w:asciiTheme="minorHAnsi" w:eastAsiaTheme="minorHAnsi" w:hAnsiTheme="minorHAnsi" w:cstheme="minorBidi"/>
          <w:i/>
          <w:sz w:val="22"/>
          <w:szCs w:val="22"/>
        </w:rPr>
        <w:t xml:space="preserve">  </w:t>
      </w:r>
      <w:r w:rsidR="00864CF7">
        <w:rPr>
          <w:rFonts w:asciiTheme="minorHAnsi" w:eastAsiaTheme="minorHAnsi" w:hAnsiTheme="minorHAnsi" w:cstheme="minorBidi"/>
          <w:i/>
          <w:sz w:val="22"/>
          <w:szCs w:val="22"/>
        </w:rPr>
        <w:t>This d</w:t>
      </w:r>
      <w:r w:rsidR="00DD052F">
        <w:rPr>
          <w:rFonts w:asciiTheme="minorHAnsi" w:eastAsiaTheme="minorHAnsi" w:hAnsiTheme="minorHAnsi" w:cstheme="minorBidi"/>
          <w:i/>
          <w:sz w:val="22"/>
          <w:szCs w:val="22"/>
        </w:rPr>
        <w:t>oes not include future contracts with existing resources.</w:t>
      </w:r>
    </w:p>
    <w:p w:rsidR="00AF0282" w:rsidRPr="00D6564C" w:rsidRDefault="00AF0282" w:rsidP="00864CF7">
      <w:pPr>
        <w:numPr>
          <w:ilvl w:val="0"/>
          <w:numId w:val="4"/>
        </w:numPr>
        <w:spacing w:after="12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lastRenderedPageBreak/>
        <w:t>Existing resources that the LSE owns or contracts with</w:t>
      </w:r>
      <w:r w:rsidR="00DD052F">
        <w:rPr>
          <w:rFonts w:asciiTheme="minorHAnsi" w:eastAsiaTheme="minorHAnsi" w:hAnsiTheme="minorHAnsi" w:cstheme="minorBidi"/>
          <w:i/>
          <w:sz w:val="22"/>
          <w:szCs w:val="22"/>
        </w:rPr>
        <w:t xml:space="preserve">. </w:t>
      </w:r>
      <w:r w:rsidR="00864CF7">
        <w:rPr>
          <w:rFonts w:asciiTheme="minorHAnsi" w:eastAsiaTheme="minorHAnsi" w:hAnsiTheme="minorHAnsi" w:cstheme="minorBidi"/>
          <w:i/>
          <w:sz w:val="22"/>
          <w:szCs w:val="22"/>
        </w:rPr>
        <w:t>This</w:t>
      </w:r>
      <w:r w:rsidR="00DD052F">
        <w:rPr>
          <w:rFonts w:asciiTheme="minorHAnsi" w:eastAsiaTheme="minorHAnsi" w:hAnsiTheme="minorHAnsi" w:cstheme="minorBidi"/>
          <w:i/>
          <w:sz w:val="22"/>
          <w:szCs w:val="22"/>
        </w:rPr>
        <w:t xml:space="preserve"> includes future contracts with existing resources</w:t>
      </w:r>
      <w:r w:rsidRPr="00D6564C">
        <w:rPr>
          <w:rFonts w:asciiTheme="minorHAnsi" w:eastAsiaTheme="minorHAnsi" w:hAnsiTheme="minorHAnsi" w:cstheme="minorBidi"/>
          <w:i/>
          <w:sz w:val="22"/>
          <w:szCs w:val="22"/>
        </w:rPr>
        <w:t>.</w:t>
      </w:r>
      <w:r w:rsidR="00864CF7">
        <w:rPr>
          <w:rFonts w:asciiTheme="minorHAnsi" w:eastAsiaTheme="minorHAnsi" w:hAnsiTheme="minorHAnsi" w:cstheme="minorBidi"/>
          <w:i/>
          <w:sz w:val="22"/>
          <w:szCs w:val="22"/>
        </w:rPr>
        <w:t xml:space="preserve"> Existing resources are those </w:t>
      </w:r>
      <w:r w:rsidR="00864CF7" w:rsidRPr="00864CF7">
        <w:rPr>
          <w:rFonts w:asciiTheme="minorHAnsi" w:eastAsiaTheme="minorHAnsi" w:hAnsiTheme="minorHAnsi" w:cstheme="minorBidi"/>
          <w:i/>
          <w:sz w:val="22"/>
          <w:szCs w:val="22"/>
        </w:rPr>
        <w:t>on the 3/15/2018 NQC List</w:t>
      </w:r>
      <w:r w:rsidR="009A3883">
        <w:rPr>
          <w:rFonts w:asciiTheme="minorHAnsi" w:eastAsiaTheme="minorHAnsi" w:hAnsiTheme="minorHAnsi" w:cstheme="minorBidi"/>
          <w:i/>
          <w:sz w:val="22"/>
          <w:szCs w:val="22"/>
        </w:rPr>
        <w:t>,</w:t>
      </w:r>
      <w:r w:rsidR="00864CF7">
        <w:rPr>
          <w:rStyle w:val="FootnoteReference"/>
          <w:rFonts w:asciiTheme="minorHAnsi" w:eastAsiaTheme="minorHAnsi" w:hAnsiTheme="minorHAnsi" w:cstheme="minorBidi"/>
          <w:i/>
          <w:szCs w:val="22"/>
        </w:rPr>
        <w:footnoteReference w:id="2"/>
      </w:r>
      <w:r w:rsidR="009A3883">
        <w:rPr>
          <w:rFonts w:asciiTheme="minorHAnsi" w:eastAsiaTheme="minorHAnsi" w:hAnsiTheme="minorHAnsi" w:cstheme="minorBidi"/>
          <w:i/>
          <w:sz w:val="22"/>
          <w:szCs w:val="22"/>
        </w:rPr>
        <w:t xml:space="preserve"> </w:t>
      </w:r>
      <w:r w:rsidR="00864CF7" w:rsidRPr="00864CF7">
        <w:rPr>
          <w:rFonts w:asciiTheme="minorHAnsi" w:eastAsiaTheme="minorHAnsi" w:hAnsiTheme="minorHAnsi" w:cstheme="minorBidi"/>
          <w:i/>
          <w:sz w:val="22"/>
          <w:szCs w:val="22"/>
        </w:rPr>
        <w:t>or projects not yet online but that have secured a contract and may therefore be identified in the Commission’s RPS Contracts Database or an Application filed at the Commission, as of January 1, 2018.</w:t>
      </w:r>
    </w:p>
    <w:p w:rsidR="00AF0282" w:rsidRPr="00D6564C" w:rsidRDefault="00AF0282" w:rsidP="00AF0282">
      <w:pPr>
        <w:spacing w:after="120" w:line="276" w:lineRule="auto"/>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Each LSE must produce a Conforming Portfolio. Alternative Portfolios are also permitted, provided that any deviations from the Conforming Portfolio are explained and justified. The LSE will identify one portfolio as its Preferred Portfolio.</w:t>
      </w:r>
    </w:p>
    <w:p w:rsidR="00AF0282" w:rsidRPr="00D6564C" w:rsidRDefault="00AF0282" w:rsidP="00AF0282">
      <w:pPr>
        <w:keepNext/>
        <w:keepLines/>
        <w:numPr>
          <w:ilvl w:val="1"/>
          <w:numId w:val="1"/>
        </w:numPr>
        <w:spacing w:before="480" w:after="240" w:line="276" w:lineRule="auto"/>
        <w:ind w:left="864" w:hanging="504"/>
        <w:outlineLvl w:val="1"/>
        <w:rPr>
          <w:rFonts w:asciiTheme="majorHAnsi" w:eastAsiaTheme="majorEastAsia" w:hAnsiTheme="majorHAnsi" w:cstheme="majorBidi"/>
          <w:b/>
          <w:bCs/>
          <w:sz w:val="24"/>
          <w:szCs w:val="28"/>
        </w:rPr>
      </w:pPr>
      <w:bookmarkStart w:id="20" w:name="_Toc501375927"/>
      <w:r w:rsidRPr="00D6564C">
        <w:rPr>
          <w:rFonts w:asciiTheme="majorHAnsi" w:eastAsiaTheme="majorEastAsia" w:hAnsiTheme="majorHAnsi" w:cstheme="majorBidi"/>
          <w:b/>
          <w:bCs/>
          <w:sz w:val="24"/>
          <w:szCs w:val="28"/>
        </w:rPr>
        <w:t xml:space="preserve">Preferred </w:t>
      </w:r>
      <w:bookmarkEnd w:id="20"/>
      <w:r w:rsidR="00F737E9">
        <w:rPr>
          <w:rFonts w:ascii="Cambria" w:eastAsia="Cambria" w:hAnsi="Cambria" w:cs="Cambria"/>
          <w:b/>
          <w:sz w:val="24"/>
          <w:szCs w:val="24"/>
        </w:rPr>
        <w:t>and Conforming Port</w:t>
      </w:r>
      <w:r w:rsidR="00F737E9">
        <w:rPr>
          <w:rFonts w:ascii="Cambria" w:eastAsia="Cambria" w:hAnsi="Cambria" w:cs="Cambria"/>
          <w:b/>
          <w:spacing w:val="1"/>
          <w:sz w:val="24"/>
          <w:szCs w:val="24"/>
        </w:rPr>
        <w:t>f</w:t>
      </w:r>
      <w:r w:rsidR="00F737E9">
        <w:rPr>
          <w:rFonts w:ascii="Cambria" w:eastAsia="Cambria" w:hAnsi="Cambria" w:cs="Cambria"/>
          <w:b/>
          <w:sz w:val="24"/>
          <w:szCs w:val="24"/>
        </w:rPr>
        <w:t>ol</w:t>
      </w:r>
      <w:r w:rsidR="00F737E9">
        <w:rPr>
          <w:rFonts w:ascii="Cambria" w:eastAsia="Cambria" w:hAnsi="Cambria" w:cs="Cambria"/>
          <w:b/>
          <w:spacing w:val="-1"/>
          <w:sz w:val="24"/>
          <w:szCs w:val="24"/>
        </w:rPr>
        <w:t>i</w:t>
      </w:r>
      <w:r w:rsidR="00F737E9">
        <w:rPr>
          <w:rFonts w:ascii="Cambria" w:eastAsia="Cambria" w:hAnsi="Cambria" w:cs="Cambria"/>
          <w:b/>
          <w:sz w:val="24"/>
          <w:szCs w:val="24"/>
        </w:rPr>
        <w:t>os</w:t>
      </w:r>
    </w:p>
    <w:p w:rsidR="001F71BA" w:rsidRDefault="00AF0282" w:rsidP="00916BEF">
      <w:pPr>
        <w:spacing w:after="200" w:line="276" w:lineRule="auto"/>
        <w:ind w:left="360"/>
        <w:rPr>
          <w:rFonts w:ascii="Calibri" w:eastAsia="Calibri" w:hAnsi="Calibri" w:cs="Calibri"/>
          <w:i/>
          <w:sz w:val="22"/>
          <w:szCs w:val="22"/>
        </w:rPr>
      </w:pPr>
      <w:r w:rsidRPr="00D6564C">
        <w:rPr>
          <w:rFonts w:asciiTheme="minorHAnsi" w:eastAsiaTheme="minorHAnsi" w:hAnsiTheme="minorHAnsi" w:cstheme="minorBidi"/>
          <w:i/>
          <w:sz w:val="22"/>
          <w:szCs w:val="22"/>
        </w:rPr>
        <w:t xml:space="preserve">Describe the portfolio the LSE prefers to use for planning purposes </w:t>
      </w:r>
      <w:r w:rsidR="00F737E9">
        <w:rPr>
          <w:rFonts w:ascii="Calibri" w:eastAsia="Calibri" w:hAnsi="Calibri" w:cs="Calibri"/>
          <w:i/>
          <w:sz w:val="22"/>
          <w:szCs w:val="22"/>
        </w:rPr>
        <w:t>(i.e., Preferred Portfolio)</w:t>
      </w:r>
      <w:r w:rsidR="00F737E9">
        <w:rPr>
          <w:rFonts w:ascii="Calibri" w:eastAsia="Calibri" w:hAnsi="Calibri" w:cs="Calibri"/>
          <w:i/>
          <w:spacing w:val="1"/>
          <w:sz w:val="22"/>
          <w:szCs w:val="22"/>
        </w:rPr>
        <w:t xml:space="preserve"> </w:t>
      </w:r>
      <w:r w:rsidRPr="00D6564C">
        <w:rPr>
          <w:rFonts w:asciiTheme="minorHAnsi" w:eastAsiaTheme="minorHAnsi" w:hAnsiTheme="minorHAnsi" w:cstheme="minorBidi"/>
          <w:i/>
          <w:sz w:val="22"/>
          <w:szCs w:val="22"/>
        </w:rPr>
        <w:t>and for which LSE seeks Commission approval or certification. Explain the reasons for the LSE’s preference and how its Preferred Plan is consistent with each relevant statutory and administrative requirement (refer to PU Code Section 454.52(a</w:t>
      </w:r>
      <w:proofErr w:type="gramStart"/>
      <w:r w:rsidRPr="00D6564C">
        <w:rPr>
          <w:rFonts w:asciiTheme="minorHAnsi" w:eastAsiaTheme="minorHAnsi" w:hAnsiTheme="minorHAnsi" w:cstheme="minorBidi"/>
          <w:i/>
          <w:sz w:val="22"/>
          <w:szCs w:val="22"/>
        </w:rPr>
        <w:t>)(</w:t>
      </w:r>
      <w:proofErr w:type="gramEnd"/>
      <w:r w:rsidRPr="00D6564C">
        <w:rPr>
          <w:rFonts w:asciiTheme="minorHAnsi" w:eastAsiaTheme="minorHAnsi" w:hAnsiTheme="minorHAnsi" w:cstheme="minorBidi"/>
          <w:i/>
          <w:sz w:val="22"/>
          <w:szCs w:val="22"/>
        </w:rPr>
        <w:t>1)).</w:t>
      </w:r>
      <w:r w:rsidRPr="00D6564C">
        <w:rPr>
          <w:rFonts w:asciiTheme="minorHAnsi" w:eastAsiaTheme="minorHAnsi" w:hAnsiTheme="minorHAnsi" w:cstheme="minorBidi"/>
          <w:sz w:val="22"/>
          <w:szCs w:val="22"/>
        </w:rPr>
        <w:t xml:space="preserve"> </w:t>
      </w:r>
      <w:r w:rsidRPr="00D6564C">
        <w:rPr>
          <w:rFonts w:asciiTheme="minorHAnsi" w:eastAsiaTheme="minorHAnsi" w:hAnsiTheme="minorHAnsi" w:cstheme="minorBidi"/>
          <w:i/>
          <w:sz w:val="22"/>
          <w:szCs w:val="22"/>
        </w:rPr>
        <w:t>In providing its rationale, the LSE should assume that other LSEs procure in a manner consistent with the Reference System Plan.</w:t>
      </w:r>
      <w:r w:rsidR="001F71BA">
        <w:rPr>
          <w:rFonts w:asciiTheme="minorHAnsi" w:eastAsiaTheme="minorHAnsi" w:hAnsiTheme="minorHAnsi" w:cstheme="minorBidi"/>
          <w:i/>
          <w:sz w:val="22"/>
          <w:szCs w:val="22"/>
        </w:rPr>
        <w:t xml:space="preserve"> </w:t>
      </w:r>
    </w:p>
    <w:p w:rsidR="001F71BA" w:rsidRDefault="00F737E9" w:rsidP="00916BEF">
      <w:pPr>
        <w:spacing w:after="200" w:line="276" w:lineRule="auto"/>
        <w:ind w:left="360"/>
        <w:rPr>
          <w:rFonts w:ascii="Calibri" w:eastAsia="Calibri" w:hAnsi="Calibri" w:cs="Calibri"/>
          <w:i/>
          <w:sz w:val="22"/>
          <w:szCs w:val="22"/>
        </w:rPr>
      </w:pPr>
      <w:r>
        <w:rPr>
          <w:rFonts w:ascii="Calibri" w:eastAsia="Calibri" w:hAnsi="Calibri" w:cs="Calibri"/>
          <w:i/>
          <w:sz w:val="22"/>
          <w:szCs w:val="22"/>
        </w:rPr>
        <w:t>If an</w:t>
      </w:r>
      <w:r w:rsidRPr="00D0255D">
        <w:rPr>
          <w:rFonts w:ascii="Calibri" w:eastAsia="Calibri" w:hAnsi="Calibri" w:cs="Calibri"/>
          <w:i/>
          <w:sz w:val="22"/>
          <w:szCs w:val="22"/>
        </w:rPr>
        <w:t xml:space="preserve"> LSE chooses the Conforming Portfolio as its Preferred Portfolio, the reporting requirements for those portfolios are one and the same</w:t>
      </w:r>
      <w:r>
        <w:rPr>
          <w:rFonts w:ascii="Calibri" w:eastAsia="Calibri" w:hAnsi="Calibri" w:cs="Calibri"/>
          <w:i/>
          <w:sz w:val="22"/>
          <w:szCs w:val="22"/>
        </w:rPr>
        <w:t>.</w:t>
      </w:r>
    </w:p>
    <w:p w:rsidR="00F737E9" w:rsidRPr="00F737E9" w:rsidRDefault="00F737E9" w:rsidP="00916BEF">
      <w:pPr>
        <w:spacing w:after="200" w:line="276" w:lineRule="auto"/>
        <w:ind w:left="360"/>
        <w:rPr>
          <w:rFonts w:ascii="Calibri" w:eastAsia="Calibri" w:hAnsi="Calibri" w:cs="Calibri"/>
          <w:i/>
          <w:sz w:val="22"/>
          <w:szCs w:val="22"/>
        </w:rPr>
      </w:pPr>
      <w:r>
        <w:rPr>
          <w:rFonts w:ascii="Calibri" w:eastAsia="Calibri" w:hAnsi="Calibri" w:cs="Calibri"/>
          <w:i/>
          <w:sz w:val="22"/>
          <w:szCs w:val="22"/>
        </w:rPr>
        <w:t>However, if an</w:t>
      </w:r>
      <w:r w:rsidRPr="00F737E9">
        <w:rPr>
          <w:rFonts w:ascii="Calibri" w:eastAsia="Calibri" w:hAnsi="Calibri" w:cs="Calibri"/>
          <w:i/>
          <w:sz w:val="22"/>
          <w:szCs w:val="22"/>
        </w:rPr>
        <w:t xml:space="preserve"> LSE chooses an Alternative Portfolio as its Preferred Portfolio, because an LSE is required to explain and justify any deviations between its Preferred Portfolio and its Conforming Portfolio, the LSE is expected to provide all information requested in Sections 3, 4, and 5 for both portfolios. In other words, the LSE should present the results for two portfolios, provide evidence showing how both portfolios minimize localized air pollutants and how it will affect the costs for its customers, and provide an action plan associated with both portfolios.</w:t>
      </w:r>
      <w:r>
        <w:rPr>
          <w:rFonts w:ascii="Calibri" w:eastAsia="Calibri" w:hAnsi="Calibri" w:cs="Calibri"/>
          <w:i/>
          <w:sz w:val="22"/>
          <w:szCs w:val="22"/>
        </w:rPr>
        <w:t xml:space="preserve"> </w:t>
      </w:r>
    </w:p>
    <w:p w:rsidR="00AF0282" w:rsidRPr="00D6564C" w:rsidRDefault="00AF0282" w:rsidP="00AF0282">
      <w:pPr>
        <w:keepNext/>
        <w:keepLines/>
        <w:numPr>
          <w:ilvl w:val="2"/>
          <w:numId w:val="1"/>
        </w:numPr>
        <w:spacing w:before="480" w:after="240" w:line="276" w:lineRule="auto"/>
        <w:ind w:left="1584"/>
        <w:outlineLvl w:val="2"/>
        <w:rPr>
          <w:rFonts w:asciiTheme="majorHAnsi" w:eastAsiaTheme="majorEastAsia" w:hAnsiTheme="majorHAnsi" w:cstheme="majorBidi"/>
          <w:b/>
          <w:bCs/>
          <w:sz w:val="22"/>
          <w:szCs w:val="28"/>
        </w:rPr>
      </w:pPr>
      <w:bookmarkStart w:id="21" w:name="_Toc501375928"/>
      <w:r w:rsidRPr="00D6564C">
        <w:rPr>
          <w:rFonts w:asciiTheme="majorHAnsi" w:eastAsiaTheme="majorEastAsia" w:hAnsiTheme="majorHAnsi" w:cstheme="majorBidi"/>
          <w:b/>
          <w:bCs/>
          <w:sz w:val="22"/>
          <w:szCs w:val="28"/>
        </w:rPr>
        <w:t>Local Air Pollutant Minimization</w:t>
      </w:r>
      <w:bookmarkEnd w:id="21"/>
    </w:p>
    <w:p w:rsidR="00AF0282" w:rsidRPr="00D6564C" w:rsidRDefault="00AF0282" w:rsidP="00AF0282">
      <w:pPr>
        <w:spacing w:after="200" w:line="276" w:lineRule="auto"/>
        <w:ind w:left="90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Describe and provide quantitative evidence to support how the LSE’s Preferred Portfolio minimizes localized air pollutants and other GHG emissions with early priority on disadvantaged communities.</w:t>
      </w:r>
    </w:p>
    <w:p w:rsidR="00AF0282" w:rsidRPr="00D6564C" w:rsidRDefault="00AF0282" w:rsidP="00AF0282">
      <w:pPr>
        <w:spacing w:after="120" w:line="276" w:lineRule="auto"/>
        <w:ind w:left="90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In order to identify “disadvantaged communities” that are located within its service territory, each LSE must use CalEnviroScreen 3.0 to identify the top 25% of impacted census tracts on a statewide basis</w:t>
      </w:r>
      <w:r>
        <w:rPr>
          <w:rFonts w:asciiTheme="minorHAnsi" w:eastAsiaTheme="minorHAnsi" w:hAnsiTheme="minorHAnsi" w:cstheme="minorBidi"/>
          <w:i/>
          <w:sz w:val="22"/>
          <w:szCs w:val="22"/>
        </w:rPr>
        <w:t xml:space="preserve"> and the top 5% of census tracts without an overall score but with highest pollution burden</w:t>
      </w:r>
      <w:r w:rsidRPr="00D6564C">
        <w:rPr>
          <w:rFonts w:asciiTheme="minorHAnsi" w:eastAsiaTheme="minorHAnsi" w:hAnsiTheme="minorHAnsi" w:cstheme="minorBidi"/>
          <w:i/>
          <w:sz w:val="22"/>
          <w:szCs w:val="22"/>
        </w:rPr>
        <w:t>. LSEs must specify:</w:t>
      </w:r>
    </w:p>
    <w:p w:rsidR="00AF0282" w:rsidRPr="00D6564C" w:rsidRDefault="00AF0282" w:rsidP="00AF0282">
      <w:pPr>
        <w:numPr>
          <w:ilvl w:val="0"/>
          <w:numId w:val="6"/>
        </w:numPr>
        <w:spacing w:after="120" w:line="276" w:lineRule="auto"/>
        <w:ind w:left="162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Customers served in disadvantaged communities along with total disadvantaged population number served as a percentage of total number of customers served</w:t>
      </w:r>
    </w:p>
    <w:p w:rsidR="00AF0282" w:rsidRDefault="00AF0282" w:rsidP="00AF0282">
      <w:pPr>
        <w:numPr>
          <w:ilvl w:val="0"/>
          <w:numId w:val="6"/>
        </w:numPr>
        <w:spacing w:after="120" w:line="276" w:lineRule="auto"/>
        <w:ind w:left="162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lastRenderedPageBreak/>
        <w:t>What current and planned LSE activities/programs, if any, impact disadvantaged communities or contribute to economic development within disadvantaged communities (e.g. list all individual programs carried out in/for disadvantaged communities, along with description of program)</w:t>
      </w:r>
    </w:p>
    <w:p w:rsidR="0047349C" w:rsidRPr="005A1351" w:rsidRDefault="00AF0282" w:rsidP="00AF0282">
      <w:pPr>
        <w:numPr>
          <w:ilvl w:val="0"/>
          <w:numId w:val="6"/>
        </w:numPr>
        <w:spacing w:after="120" w:line="276" w:lineRule="auto"/>
        <w:ind w:left="1620"/>
        <w:rPr>
          <w:rFonts w:asciiTheme="minorHAnsi" w:eastAsiaTheme="minorHAnsi" w:hAnsiTheme="minorHAnsi" w:cstheme="minorBidi"/>
          <w:i/>
          <w:sz w:val="22"/>
          <w:szCs w:val="22"/>
        </w:rPr>
      </w:pPr>
      <w:r w:rsidRPr="005A1351">
        <w:rPr>
          <w:rFonts w:asciiTheme="minorHAnsi" w:eastAsiaTheme="minorHAnsi" w:hAnsiTheme="minorHAnsi" w:cstheme="minorBidi"/>
          <w:i/>
          <w:sz w:val="22"/>
          <w:szCs w:val="22"/>
        </w:rPr>
        <w:t>Estimates of annual emissions of nitrogen oxides and particulate matter</w:t>
      </w:r>
      <w:r w:rsidR="008B0D7C">
        <w:rPr>
          <w:rStyle w:val="FootnoteReference"/>
          <w:rFonts w:asciiTheme="minorHAnsi" w:eastAsiaTheme="minorHAnsi" w:hAnsiTheme="minorHAnsi" w:cstheme="minorBidi"/>
          <w:i/>
          <w:szCs w:val="22"/>
        </w:rPr>
        <w:footnoteReference w:id="3"/>
      </w:r>
      <w:r w:rsidRPr="005A1351">
        <w:rPr>
          <w:rFonts w:asciiTheme="minorHAnsi" w:eastAsiaTheme="minorHAnsi" w:hAnsiTheme="minorHAnsi" w:cstheme="minorBidi"/>
          <w:i/>
          <w:sz w:val="22"/>
          <w:szCs w:val="22"/>
        </w:rPr>
        <w:t xml:space="preserve"> (NOx and PM2.5, at a minimum), including emissions from normal plant operations and from plant cycling. As stated above, the Commission delegates to staff and the assigned ALJ to define a GHG accounting method</w:t>
      </w:r>
      <w:r w:rsidRPr="00917B3E">
        <w:rPr>
          <w:rFonts w:asciiTheme="minorHAnsi" w:eastAsiaTheme="minorHAnsi" w:hAnsiTheme="minorHAnsi" w:cstheme="minorBidi"/>
          <w:i/>
          <w:sz w:val="22"/>
          <w:szCs w:val="22"/>
        </w:rPr>
        <w:t xml:space="preserve">ology apportioning responsibility to individual LSEs. The method </w:t>
      </w:r>
      <w:r w:rsidR="0047349C">
        <w:rPr>
          <w:rFonts w:asciiTheme="minorHAnsi" w:eastAsiaTheme="minorHAnsi" w:hAnsiTheme="minorHAnsi" w:cstheme="minorBidi"/>
          <w:i/>
          <w:sz w:val="22"/>
          <w:szCs w:val="22"/>
        </w:rPr>
        <w:t xml:space="preserve">may </w:t>
      </w:r>
      <w:r w:rsidRPr="00917B3E">
        <w:rPr>
          <w:rFonts w:asciiTheme="minorHAnsi" w:eastAsiaTheme="minorHAnsi" w:hAnsiTheme="minorHAnsi" w:cstheme="minorBidi"/>
          <w:i/>
          <w:sz w:val="22"/>
          <w:szCs w:val="22"/>
        </w:rPr>
        <w:t xml:space="preserve">also be used to estimate localized pollutants such as nitrogen oxides and particulate matter. </w:t>
      </w:r>
    </w:p>
    <w:p w:rsidR="00AF0282" w:rsidRPr="00D6564C" w:rsidRDefault="00AF0282" w:rsidP="00AF0282">
      <w:pPr>
        <w:keepNext/>
        <w:keepLines/>
        <w:numPr>
          <w:ilvl w:val="2"/>
          <w:numId w:val="1"/>
        </w:numPr>
        <w:spacing w:before="480" w:after="240" w:line="276" w:lineRule="auto"/>
        <w:ind w:left="1584"/>
        <w:outlineLvl w:val="2"/>
        <w:rPr>
          <w:rFonts w:asciiTheme="majorHAnsi" w:eastAsiaTheme="majorEastAsia" w:hAnsiTheme="majorHAnsi" w:cstheme="majorBidi"/>
          <w:b/>
          <w:bCs/>
          <w:sz w:val="22"/>
          <w:szCs w:val="28"/>
        </w:rPr>
      </w:pPr>
      <w:bookmarkStart w:id="22" w:name="_Toc500329355"/>
      <w:bookmarkStart w:id="23" w:name="_Toc500430351"/>
      <w:bookmarkStart w:id="24" w:name="_Toc501375929"/>
      <w:bookmarkEnd w:id="22"/>
      <w:bookmarkEnd w:id="23"/>
      <w:r w:rsidRPr="00D6564C">
        <w:rPr>
          <w:rFonts w:asciiTheme="majorHAnsi" w:eastAsiaTheme="majorEastAsia" w:hAnsiTheme="majorHAnsi" w:cstheme="majorBidi"/>
          <w:b/>
          <w:bCs/>
          <w:sz w:val="22"/>
          <w:szCs w:val="28"/>
        </w:rPr>
        <w:t>Cost and Rate Analysis</w:t>
      </w:r>
      <w:bookmarkEnd w:id="24"/>
    </w:p>
    <w:p w:rsidR="00AF0282" w:rsidRPr="00D6564C" w:rsidRDefault="00AF0282" w:rsidP="00AF0282">
      <w:pPr>
        <w:spacing w:after="200" w:line="276" w:lineRule="auto"/>
        <w:ind w:left="90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Describe and provide quantitative information to reflect how the LSE anticipates that its Preferred Portfolio will affect the costs for its customers. For this analysis, assume other LSEs procure resources in a manner consistent with the Reference System Plan.</w:t>
      </w:r>
    </w:p>
    <w:p w:rsidR="00AF0282" w:rsidRPr="00D6564C" w:rsidRDefault="00F737E9" w:rsidP="00AF0282">
      <w:pPr>
        <w:spacing w:after="200" w:line="276" w:lineRule="auto"/>
        <w:ind w:left="180" w:firstLine="720"/>
        <w:rPr>
          <w:rFonts w:asciiTheme="minorHAnsi" w:eastAsiaTheme="minorHAnsi" w:hAnsiTheme="minorHAnsi" w:cstheme="minorBidi"/>
          <w:i/>
          <w:sz w:val="22"/>
          <w:szCs w:val="22"/>
          <w:u w:val="single"/>
        </w:rPr>
      </w:pPr>
      <w:r>
        <w:rPr>
          <w:rFonts w:ascii="Calibri" w:eastAsia="Calibri" w:hAnsi="Calibri" w:cs="Calibri"/>
          <w:b/>
          <w:i/>
          <w:spacing w:val="1"/>
          <w:sz w:val="22"/>
          <w:szCs w:val="22"/>
          <w:u w:val="single" w:color="000000"/>
        </w:rPr>
        <w:t>R</w:t>
      </w:r>
      <w:r>
        <w:rPr>
          <w:rFonts w:ascii="Calibri" w:eastAsia="Calibri" w:hAnsi="Calibri" w:cs="Calibri"/>
          <w:b/>
          <w:i/>
          <w:spacing w:val="-3"/>
          <w:sz w:val="22"/>
          <w:szCs w:val="22"/>
          <w:u w:val="single" w:color="000000"/>
        </w:rPr>
        <w:t>e</w:t>
      </w:r>
      <w:r>
        <w:rPr>
          <w:rFonts w:ascii="Calibri" w:eastAsia="Calibri" w:hAnsi="Calibri" w:cs="Calibri"/>
          <w:b/>
          <w:i/>
          <w:spacing w:val="1"/>
          <w:sz w:val="22"/>
          <w:szCs w:val="22"/>
          <w:u w:val="single" w:color="000000"/>
        </w:rPr>
        <w:t>q</w:t>
      </w:r>
      <w:r>
        <w:rPr>
          <w:rFonts w:ascii="Calibri" w:eastAsia="Calibri" w:hAnsi="Calibri" w:cs="Calibri"/>
          <w:b/>
          <w:i/>
          <w:spacing w:val="-1"/>
          <w:sz w:val="22"/>
          <w:szCs w:val="22"/>
          <w:u w:val="single" w:color="000000"/>
        </w:rPr>
        <w:t>u</w:t>
      </w:r>
      <w:r>
        <w:rPr>
          <w:rFonts w:ascii="Calibri" w:eastAsia="Calibri" w:hAnsi="Calibri" w:cs="Calibri"/>
          <w:b/>
          <w:i/>
          <w:spacing w:val="1"/>
          <w:sz w:val="22"/>
          <w:szCs w:val="22"/>
          <w:u w:val="single" w:color="000000"/>
        </w:rPr>
        <w:t>i</w:t>
      </w:r>
      <w:r>
        <w:rPr>
          <w:rFonts w:ascii="Calibri" w:eastAsia="Calibri" w:hAnsi="Calibri" w:cs="Calibri"/>
          <w:b/>
          <w:i/>
          <w:spacing w:val="-1"/>
          <w:sz w:val="22"/>
          <w:szCs w:val="22"/>
          <w:u w:val="single" w:color="000000"/>
        </w:rPr>
        <w:t>r</w:t>
      </w:r>
      <w:r>
        <w:rPr>
          <w:rFonts w:ascii="Calibri" w:eastAsia="Calibri" w:hAnsi="Calibri" w:cs="Calibri"/>
          <w:b/>
          <w:i/>
          <w:sz w:val="22"/>
          <w:szCs w:val="22"/>
          <w:u w:val="single" w:color="000000"/>
        </w:rPr>
        <w:t>em</w:t>
      </w:r>
      <w:r>
        <w:rPr>
          <w:rFonts w:ascii="Calibri" w:eastAsia="Calibri" w:hAnsi="Calibri" w:cs="Calibri"/>
          <w:b/>
          <w:i/>
          <w:spacing w:val="-1"/>
          <w:sz w:val="22"/>
          <w:szCs w:val="22"/>
          <w:u w:val="single" w:color="000000"/>
        </w:rPr>
        <w:t>en</w:t>
      </w:r>
      <w:r>
        <w:rPr>
          <w:rFonts w:ascii="Calibri" w:eastAsia="Calibri" w:hAnsi="Calibri" w:cs="Calibri"/>
          <w:b/>
          <w:i/>
          <w:sz w:val="22"/>
          <w:szCs w:val="22"/>
          <w:u w:val="single" w:color="000000"/>
        </w:rPr>
        <w:t>ts for IOUs Only</w:t>
      </w:r>
    </w:p>
    <w:p w:rsidR="00AF0282" w:rsidRPr="00D6564C" w:rsidRDefault="00AF0282" w:rsidP="00AF0282">
      <w:pPr>
        <w:spacing w:after="200" w:line="276" w:lineRule="auto"/>
        <w:ind w:left="90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xml:space="preserve">Data must be provided showing the forecasted revenue requirement and system average rate for bundled customers for all portfolios developed by the IOU. The costs should be forecasted consistently with the categories covered by each IOU in its general rate case. The data should reflect the </w:t>
      </w:r>
      <w:r w:rsidR="00934D45">
        <w:rPr>
          <w:rFonts w:asciiTheme="minorHAnsi" w:eastAsiaTheme="minorHAnsi" w:hAnsiTheme="minorHAnsi" w:cstheme="minorBidi"/>
          <w:i/>
          <w:sz w:val="22"/>
          <w:szCs w:val="22"/>
        </w:rPr>
        <w:t>IOU’s</w:t>
      </w:r>
      <w:r w:rsidR="00934D45" w:rsidRPr="00D6564C">
        <w:rPr>
          <w:rFonts w:asciiTheme="minorHAnsi" w:eastAsiaTheme="minorHAnsi" w:hAnsiTheme="minorHAnsi" w:cstheme="minorBidi"/>
          <w:i/>
          <w:sz w:val="22"/>
          <w:szCs w:val="22"/>
        </w:rPr>
        <w:t xml:space="preserve"> </w:t>
      </w:r>
      <w:r w:rsidRPr="00D6564C">
        <w:rPr>
          <w:rFonts w:asciiTheme="minorHAnsi" w:eastAsiaTheme="minorHAnsi" w:hAnsiTheme="minorHAnsi" w:cstheme="minorBidi"/>
          <w:i/>
          <w:sz w:val="22"/>
          <w:szCs w:val="22"/>
        </w:rPr>
        <w:t>assigned load forecast</w:t>
      </w:r>
      <w:r w:rsidR="00EF4554">
        <w:rPr>
          <w:rFonts w:asciiTheme="minorHAnsi" w:eastAsiaTheme="minorHAnsi" w:hAnsiTheme="minorHAnsi" w:cstheme="minorBidi"/>
          <w:i/>
          <w:sz w:val="22"/>
          <w:szCs w:val="22"/>
        </w:rPr>
        <w:t xml:space="preserve"> (for the conforming portfolio)</w:t>
      </w:r>
      <w:r w:rsidRPr="00D6564C">
        <w:rPr>
          <w:rFonts w:asciiTheme="minorHAnsi" w:eastAsiaTheme="minorHAnsi" w:hAnsiTheme="minorHAnsi" w:cstheme="minorBidi"/>
          <w:i/>
          <w:sz w:val="22"/>
          <w:szCs w:val="22"/>
        </w:rPr>
        <w:t>, and revenue requirements for each portfolio should be broken down by the following categories:</w:t>
      </w:r>
    </w:p>
    <w:p w:rsidR="00AF0282" w:rsidRPr="00D6564C" w:rsidRDefault="00AF0282" w:rsidP="00AF0282">
      <w:pPr>
        <w:numPr>
          <w:ilvl w:val="0"/>
          <w:numId w:val="5"/>
        </w:numPr>
        <w:spacing w:after="12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Transmission</w:t>
      </w:r>
    </w:p>
    <w:p w:rsidR="00AF0282" w:rsidRPr="00D6564C" w:rsidRDefault="00AF0282" w:rsidP="00AF0282">
      <w:pPr>
        <w:numPr>
          <w:ilvl w:val="0"/>
          <w:numId w:val="5"/>
        </w:numPr>
        <w:spacing w:after="12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xml:space="preserve">Distribution </w:t>
      </w:r>
      <w:r w:rsidR="004B1665">
        <w:rPr>
          <w:rFonts w:asciiTheme="minorHAnsi" w:eastAsiaTheme="minorHAnsi" w:hAnsiTheme="minorHAnsi" w:cstheme="minorBidi"/>
          <w:i/>
          <w:sz w:val="22"/>
          <w:szCs w:val="22"/>
        </w:rPr>
        <w:t>(e.g. includes costs from distribution upgrades driven by customer-generation)</w:t>
      </w:r>
    </w:p>
    <w:p w:rsidR="00AF0282" w:rsidRPr="00D6564C" w:rsidRDefault="00AF0282" w:rsidP="00AF0282">
      <w:pPr>
        <w:numPr>
          <w:ilvl w:val="0"/>
          <w:numId w:val="5"/>
        </w:numPr>
        <w:spacing w:after="12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DSM Programs</w:t>
      </w:r>
      <w:r w:rsidR="009267AB">
        <w:rPr>
          <w:rFonts w:asciiTheme="minorHAnsi" w:eastAsiaTheme="minorHAnsi" w:hAnsiTheme="minorHAnsi" w:cstheme="minorBidi"/>
          <w:i/>
          <w:sz w:val="22"/>
          <w:szCs w:val="22"/>
        </w:rPr>
        <w:t xml:space="preserve"> (</w:t>
      </w:r>
      <w:r w:rsidR="00934D45">
        <w:rPr>
          <w:rFonts w:asciiTheme="minorHAnsi" w:eastAsiaTheme="minorHAnsi" w:hAnsiTheme="minorHAnsi" w:cstheme="minorBidi"/>
          <w:i/>
          <w:sz w:val="22"/>
          <w:szCs w:val="22"/>
        </w:rPr>
        <w:t xml:space="preserve">e.g. </w:t>
      </w:r>
      <w:r w:rsidR="009267AB">
        <w:rPr>
          <w:rFonts w:asciiTheme="minorHAnsi" w:eastAsiaTheme="minorHAnsi" w:hAnsiTheme="minorHAnsi" w:cstheme="minorBidi"/>
          <w:i/>
          <w:sz w:val="22"/>
          <w:szCs w:val="22"/>
        </w:rPr>
        <w:t>includes</w:t>
      </w:r>
      <w:r w:rsidR="00934D45">
        <w:rPr>
          <w:rFonts w:asciiTheme="minorHAnsi" w:eastAsiaTheme="minorHAnsi" w:hAnsiTheme="minorHAnsi" w:cstheme="minorBidi"/>
          <w:i/>
          <w:sz w:val="22"/>
          <w:szCs w:val="22"/>
        </w:rPr>
        <w:t xml:space="preserve"> costs of </w:t>
      </w:r>
      <w:r w:rsidR="009267AB">
        <w:rPr>
          <w:rFonts w:asciiTheme="minorHAnsi" w:eastAsiaTheme="minorHAnsi" w:hAnsiTheme="minorHAnsi" w:cstheme="minorBidi"/>
          <w:i/>
          <w:sz w:val="22"/>
          <w:szCs w:val="22"/>
        </w:rPr>
        <w:t>energy-efficiency</w:t>
      </w:r>
      <w:r w:rsidR="00FC0FF5">
        <w:rPr>
          <w:rFonts w:asciiTheme="minorHAnsi" w:eastAsiaTheme="minorHAnsi" w:hAnsiTheme="minorHAnsi" w:cstheme="minorBidi"/>
          <w:i/>
          <w:sz w:val="22"/>
          <w:szCs w:val="22"/>
        </w:rPr>
        <w:t>,</w:t>
      </w:r>
      <w:r w:rsidR="009267AB">
        <w:rPr>
          <w:rFonts w:asciiTheme="minorHAnsi" w:eastAsiaTheme="minorHAnsi" w:hAnsiTheme="minorHAnsi" w:cstheme="minorBidi"/>
          <w:i/>
          <w:sz w:val="22"/>
          <w:szCs w:val="22"/>
        </w:rPr>
        <w:t xml:space="preserve"> demand response</w:t>
      </w:r>
      <w:r w:rsidR="00FC0FF5">
        <w:rPr>
          <w:rFonts w:asciiTheme="minorHAnsi" w:eastAsiaTheme="minorHAnsi" w:hAnsiTheme="minorHAnsi" w:cstheme="minorBidi"/>
          <w:i/>
          <w:sz w:val="22"/>
          <w:szCs w:val="22"/>
        </w:rPr>
        <w:t>, and other</w:t>
      </w:r>
      <w:r w:rsidR="009267AB">
        <w:rPr>
          <w:rFonts w:asciiTheme="minorHAnsi" w:eastAsiaTheme="minorHAnsi" w:hAnsiTheme="minorHAnsi" w:cstheme="minorBidi"/>
          <w:i/>
          <w:sz w:val="22"/>
          <w:szCs w:val="22"/>
        </w:rPr>
        <w:t xml:space="preserve"> programs)</w:t>
      </w:r>
    </w:p>
    <w:p w:rsidR="00AF0282" w:rsidRPr="00D6564C" w:rsidRDefault="00AF0282" w:rsidP="00AF0282">
      <w:pPr>
        <w:numPr>
          <w:ilvl w:val="0"/>
          <w:numId w:val="5"/>
        </w:numPr>
        <w:spacing w:after="12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Generation</w:t>
      </w:r>
      <w:r w:rsidR="009267AB">
        <w:rPr>
          <w:rFonts w:asciiTheme="minorHAnsi" w:eastAsiaTheme="minorHAnsi" w:hAnsiTheme="minorHAnsi" w:cstheme="minorBidi"/>
          <w:i/>
          <w:sz w:val="22"/>
          <w:szCs w:val="22"/>
        </w:rPr>
        <w:t xml:space="preserve"> (</w:t>
      </w:r>
      <w:r w:rsidR="00934D45">
        <w:rPr>
          <w:rFonts w:asciiTheme="minorHAnsi" w:eastAsiaTheme="minorHAnsi" w:hAnsiTheme="minorHAnsi" w:cstheme="minorBidi"/>
          <w:i/>
          <w:sz w:val="22"/>
          <w:szCs w:val="22"/>
        </w:rPr>
        <w:t xml:space="preserve">e.g. </w:t>
      </w:r>
      <w:r w:rsidR="009267AB">
        <w:rPr>
          <w:rFonts w:asciiTheme="minorHAnsi" w:eastAsiaTheme="minorHAnsi" w:hAnsiTheme="minorHAnsi" w:cstheme="minorBidi"/>
          <w:i/>
          <w:sz w:val="22"/>
          <w:szCs w:val="22"/>
        </w:rPr>
        <w:t xml:space="preserve">includes </w:t>
      </w:r>
      <w:r w:rsidR="00934D45">
        <w:rPr>
          <w:rFonts w:asciiTheme="minorHAnsi" w:eastAsiaTheme="minorHAnsi" w:hAnsiTheme="minorHAnsi" w:cstheme="minorBidi"/>
          <w:i/>
          <w:sz w:val="22"/>
          <w:szCs w:val="22"/>
        </w:rPr>
        <w:t xml:space="preserve">costs of </w:t>
      </w:r>
      <w:r w:rsidR="009267AB">
        <w:rPr>
          <w:rFonts w:asciiTheme="minorHAnsi" w:eastAsiaTheme="minorHAnsi" w:hAnsiTheme="minorHAnsi" w:cstheme="minorBidi"/>
          <w:i/>
          <w:sz w:val="22"/>
          <w:szCs w:val="22"/>
        </w:rPr>
        <w:t>utility-owned generation, bilateral contracts, renewables contracts,</w:t>
      </w:r>
      <w:r w:rsidR="00934D45">
        <w:rPr>
          <w:rFonts w:asciiTheme="minorHAnsi" w:eastAsiaTheme="minorHAnsi" w:hAnsiTheme="minorHAnsi" w:cstheme="minorBidi"/>
          <w:i/>
          <w:sz w:val="22"/>
          <w:szCs w:val="22"/>
        </w:rPr>
        <w:t xml:space="preserve"> and</w:t>
      </w:r>
      <w:r w:rsidR="009267AB">
        <w:rPr>
          <w:rFonts w:asciiTheme="minorHAnsi" w:eastAsiaTheme="minorHAnsi" w:hAnsiTheme="minorHAnsi" w:cstheme="minorBidi"/>
          <w:i/>
          <w:sz w:val="22"/>
          <w:szCs w:val="22"/>
        </w:rPr>
        <w:t xml:space="preserve"> storage contracts, </w:t>
      </w:r>
      <w:r w:rsidR="0075255A">
        <w:rPr>
          <w:rFonts w:asciiTheme="minorHAnsi" w:eastAsiaTheme="minorHAnsi" w:hAnsiTheme="minorHAnsi" w:cstheme="minorBidi"/>
          <w:i/>
          <w:sz w:val="22"/>
          <w:szCs w:val="22"/>
        </w:rPr>
        <w:t>net of</w:t>
      </w:r>
      <w:r w:rsidR="009267AB">
        <w:rPr>
          <w:rFonts w:asciiTheme="minorHAnsi" w:eastAsiaTheme="minorHAnsi" w:hAnsiTheme="minorHAnsi" w:cstheme="minorBidi"/>
          <w:i/>
          <w:sz w:val="22"/>
          <w:szCs w:val="22"/>
        </w:rPr>
        <w:t xml:space="preserve"> revenue from EDU allowances)</w:t>
      </w:r>
    </w:p>
    <w:p w:rsidR="00AF0282" w:rsidRPr="00D6564C" w:rsidRDefault="00AF0282" w:rsidP="00AF0282">
      <w:pPr>
        <w:numPr>
          <w:ilvl w:val="0"/>
          <w:numId w:val="5"/>
        </w:numPr>
        <w:spacing w:after="12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Other</w:t>
      </w:r>
      <w:r w:rsidR="009267AB">
        <w:rPr>
          <w:rFonts w:asciiTheme="minorHAnsi" w:eastAsiaTheme="minorHAnsi" w:hAnsiTheme="minorHAnsi" w:cstheme="minorBidi"/>
          <w:i/>
          <w:sz w:val="22"/>
          <w:szCs w:val="22"/>
        </w:rPr>
        <w:t xml:space="preserve"> (</w:t>
      </w:r>
      <w:r w:rsidR="00934D45">
        <w:rPr>
          <w:rFonts w:asciiTheme="minorHAnsi" w:eastAsiaTheme="minorHAnsi" w:hAnsiTheme="minorHAnsi" w:cstheme="minorBidi"/>
          <w:i/>
          <w:sz w:val="22"/>
          <w:szCs w:val="22"/>
        </w:rPr>
        <w:t xml:space="preserve">e.g. </w:t>
      </w:r>
      <w:r w:rsidR="009267AB">
        <w:rPr>
          <w:rFonts w:asciiTheme="minorHAnsi" w:eastAsiaTheme="minorHAnsi" w:hAnsiTheme="minorHAnsi" w:cstheme="minorBidi"/>
          <w:i/>
          <w:sz w:val="22"/>
          <w:szCs w:val="22"/>
        </w:rPr>
        <w:t xml:space="preserve">includes nuclear decommissioning, DWR bonds, public purpose programs, </w:t>
      </w:r>
      <w:r w:rsidR="00934D45">
        <w:rPr>
          <w:rFonts w:asciiTheme="minorHAnsi" w:eastAsiaTheme="minorHAnsi" w:hAnsiTheme="minorHAnsi" w:cstheme="minorBidi"/>
          <w:i/>
          <w:sz w:val="22"/>
          <w:szCs w:val="22"/>
        </w:rPr>
        <w:t>and other miscellaneous</w:t>
      </w:r>
      <w:r w:rsidR="009267AB">
        <w:rPr>
          <w:rFonts w:asciiTheme="minorHAnsi" w:eastAsiaTheme="minorHAnsi" w:hAnsiTheme="minorHAnsi" w:cstheme="minorBidi"/>
          <w:i/>
          <w:sz w:val="22"/>
          <w:szCs w:val="22"/>
        </w:rPr>
        <w:t>)</w:t>
      </w:r>
    </w:p>
    <w:p w:rsidR="00AF0282" w:rsidRPr="00D6564C" w:rsidRDefault="00AF0282" w:rsidP="00AF0282">
      <w:pPr>
        <w:spacing w:after="200" w:line="276" w:lineRule="auto"/>
        <w:ind w:left="90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In presenting revenue requirement data, IOUs should clearly distinguish between current (baseline) projected revenue requirement broken down by the categories above, and the incremental projected revenue requirement broke</w:t>
      </w:r>
      <w:r>
        <w:rPr>
          <w:rFonts w:asciiTheme="minorHAnsi" w:eastAsiaTheme="minorHAnsi" w:hAnsiTheme="minorHAnsi" w:cstheme="minorBidi"/>
          <w:i/>
          <w:sz w:val="22"/>
          <w:szCs w:val="22"/>
        </w:rPr>
        <w:t>n</w:t>
      </w:r>
      <w:r w:rsidRPr="00D6564C">
        <w:rPr>
          <w:rFonts w:asciiTheme="minorHAnsi" w:eastAsiaTheme="minorHAnsi" w:hAnsiTheme="minorHAnsi" w:cstheme="minorBidi"/>
          <w:i/>
          <w:sz w:val="22"/>
          <w:szCs w:val="22"/>
        </w:rPr>
        <w:t xml:space="preserve"> down by the same categories, for each new </w:t>
      </w:r>
      <w:r w:rsidRPr="00D6564C">
        <w:rPr>
          <w:rFonts w:asciiTheme="minorHAnsi" w:eastAsiaTheme="minorHAnsi" w:hAnsiTheme="minorHAnsi" w:cstheme="minorBidi"/>
          <w:i/>
          <w:sz w:val="22"/>
          <w:szCs w:val="22"/>
        </w:rPr>
        <w:lastRenderedPageBreak/>
        <w:t>resource portfolio that the IOU is showing results for in its Plan. IOUs should assume no procurement on behalf of non-bundled customers would be needed unless specifically required by the Commission.</w:t>
      </w:r>
      <w:r w:rsidR="002F40C6">
        <w:rPr>
          <w:rFonts w:asciiTheme="minorHAnsi" w:eastAsiaTheme="minorHAnsi" w:hAnsiTheme="minorHAnsi" w:cstheme="minorBidi"/>
          <w:i/>
          <w:sz w:val="22"/>
          <w:szCs w:val="22"/>
        </w:rPr>
        <w:t xml:space="preserve">  </w:t>
      </w:r>
      <w:r w:rsidR="00262EEF">
        <w:rPr>
          <w:rFonts w:asciiTheme="minorHAnsi" w:eastAsiaTheme="minorHAnsi" w:hAnsiTheme="minorHAnsi" w:cstheme="minorBidi"/>
          <w:i/>
          <w:sz w:val="22"/>
          <w:szCs w:val="22"/>
        </w:rPr>
        <w:t xml:space="preserve">Report all assumptions used such as cost escalation rate, inflation rate, </w:t>
      </w:r>
      <w:proofErr w:type="spellStart"/>
      <w:r w:rsidR="00262EEF">
        <w:rPr>
          <w:rFonts w:asciiTheme="minorHAnsi" w:eastAsiaTheme="minorHAnsi" w:hAnsiTheme="minorHAnsi" w:cstheme="minorBidi"/>
          <w:i/>
          <w:sz w:val="22"/>
          <w:szCs w:val="22"/>
        </w:rPr>
        <w:t>levelization</w:t>
      </w:r>
      <w:proofErr w:type="spellEnd"/>
      <w:r w:rsidR="00262EEF">
        <w:rPr>
          <w:rFonts w:asciiTheme="minorHAnsi" w:eastAsiaTheme="minorHAnsi" w:hAnsiTheme="minorHAnsi" w:cstheme="minorBidi"/>
          <w:i/>
          <w:sz w:val="22"/>
          <w:szCs w:val="22"/>
        </w:rPr>
        <w:t xml:space="preserve"> period, discount rate</w:t>
      </w:r>
      <w:r w:rsidR="0013179E">
        <w:rPr>
          <w:rFonts w:asciiTheme="minorHAnsi" w:eastAsiaTheme="minorHAnsi" w:hAnsiTheme="minorHAnsi" w:cstheme="minorBidi"/>
          <w:i/>
          <w:sz w:val="22"/>
          <w:szCs w:val="22"/>
        </w:rPr>
        <w:t>, taxes, financing, etc</w:t>
      </w:r>
      <w:r w:rsidR="00262EEF">
        <w:rPr>
          <w:rFonts w:asciiTheme="minorHAnsi" w:eastAsiaTheme="minorHAnsi" w:hAnsiTheme="minorHAnsi" w:cstheme="minorBidi"/>
          <w:i/>
          <w:sz w:val="22"/>
          <w:szCs w:val="22"/>
        </w:rPr>
        <w:t>.</w:t>
      </w:r>
      <w:r w:rsidR="0069551D">
        <w:rPr>
          <w:rFonts w:asciiTheme="minorHAnsi" w:eastAsiaTheme="minorHAnsi" w:hAnsiTheme="minorHAnsi" w:cstheme="minorBidi"/>
          <w:i/>
          <w:sz w:val="22"/>
          <w:szCs w:val="22"/>
        </w:rPr>
        <w:t xml:space="preserve">  For the conforming portfolio, assumptions should align with those used in the RESOLVE model to the extent possible.</w:t>
      </w:r>
    </w:p>
    <w:p w:rsidR="00AF0282" w:rsidRPr="00D6564C" w:rsidRDefault="00F737E9" w:rsidP="00AF0282">
      <w:pPr>
        <w:spacing w:after="200" w:line="276" w:lineRule="auto"/>
        <w:ind w:left="180" w:firstLine="720"/>
        <w:rPr>
          <w:rFonts w:asciiTheme="minorHAnsi" w:eastAsiaTheme="minorHAnsi" w:hAnsiTheme="minorHAnsi" w:cstheme="minorBidi"/>
          <w:b/>
          <w:i/>
          <w:sz w:val="22"/>
          <w:szCs w:val="22"/>
          <w:u w:val="single"/>
        </w:rPr>
      </w:pPr>
      <w:r>
        <w:rPr>
          <w:rFonts w:ascii="Calibri" w:eastAsia="Calibri" w:hAnsi="Calibri" w:cs="Calibri"/>
          <w:b/>
          <w:i/>
          <w:sz w:val="22"/>
          <w:szCs w:val="22"/>
          <w:u w:val="single" w:color="000000"/>
        </w:rPr>
        <w:t>Requirements for A</w:t>
      </w:r>
      <w:r>
        <w:rPr>
          <w:rFonts w:ascii="Calibri" w:eastAsia="Calibri" w:hAnsi="Calibri" w:cs="Calibri"/>
          <w:b/>
          <w:i/>
          <w:spacing w:val="1"/>
          <w:sz w:val="22"/>
          <w:szCs w:val="22"/>
          <w:u w:val="single" w:color="000000"/>
        </w:rPr>
        <w:t>l</w:t>
      </w:r>
      <w:r>
        <w:rPr>
          <w:rFonts w:ascii="Calibri" w:eastAsia="Calibri" w:hAnsi="Calibri" w:cs="Calibri"/>
          <w:b/>
          <w:i/>
          <w:sz w:val="22"/>
          <w:szCs w:val="22"/>
          <w:u w:val="single" w:color="000000"/>
        </w:rPr>
        <w:t>l</w:t>
      </w:r>
      <w:r>
        <w:rPr>
          <w:rFonts w:ascii="Calibri" w:eastAsia="Calibri" w:hAnsi="Calibri" w:cs="Calibri"/>
          <w:b/>
          <w:i/>
          <w:spacing w:val="-1"/>
          <w:sz w:val="22"/>
          <w:szCs w:val="22"/>
          <w:u w:val="single" w:color="000000"/>
        </w:rPr>
        <w:t xml:space="preserve"> </w:t>
      </w:r>
      <w:r>
        <w:rPr>
          <w:rFonts w:ascii="Calibri" w:eastAsia="Calibri" w:hAnsi="Calibri" w:cs="Calibri"/>
          <w:b/>
          <w:i/>
          <w:sz w:val="22"/>
          <w:szCs w:val="22"/>
          <w:u w:val="single" w:color="000000"/>
        </w:rPr>
        <w:t>L</w:t>
      </w:r>
      <w:r>
        <w:rPr>
          <w:rFonts w:ascii="Calibri" w:eastAsia="Calibri" w:hAnsi="Calibri" w:cs="Calibri"/>
          <w:b/>
          <w:i/>
          <w:spacing w:val="-2"/>
          <w:sz w:val="22"/>
          <w:szCs w:val="22"/>
          <w:u w:val="single" w:color="000000"/>
        </w:rPr>
        <w:t>S</w:t>
      </w:r>
      <w:r>
        <w:rPr>
          <w:rFonts w:ascii="Calibri" w:eastAsia="Calibri" w:hAnsi="Calibri" w:cs="Calibri"/>
          <w:b/>
          <w:i/>
          <w:sz w:val="22"/>
          <w:szCs w:val="22"/>
          <w:u w:val="single" w:color="000000"/>
        </w:rPr>
        <w:t>Es</w:t>
      </w:r>
    </w:p>
    <w:p w:rsidR="00AF0282" w:rsidRPr="00D6564C" w:rsidRDefault="00F737E9" w:rsidP="00AF0282">
      <w:pPr>
        <w:spacing w:after="200" w:line="276" w:lineRule="auto"/>
        <w:ind w:left="900"/>
        <w:rPr>
          <w:rFonts w:asciiTheme="minorHAnsi" w:eastAsiaTheme="minorHAnsi" w:hAnsiTheme="minorHAnsi" w:cstheme="minorBidi"/>
          <w:i/>
          <w:sz w:val="22"/>
          <w:szCs w:val="22"/>
        </w:rPr>
      </w:pPr>
      <w:r>
        <w:rPr>
          <w:rFonts w:asciiTheme="minorHAnsi" w:eastAsiaTheme="minorHAnsi" w:hAnsiTheme="minorHAnsi" w:cstheme="minorBidi"/>
          <w:i/>
          <w:sz w:val="22"/>
          <w:szCs w:val="22"/>
        </w:rPr>
        <w:t>A</w:t>
      </w:r>
      <w:r w:rsidR="00AF0282" w:rsidRPr="00D6564C">
        <w:rPr>
          <w:rFonts w:asciiTheme="minorHAnsi" w:eastAsiaTheme="minorHAnsi" w:hAnsiTheme="minorHAnsi" w:cstheme="minorBidi"/>
          <w:i/>
          <w:sz w:val="22"/>
          <w:szCs w:val="22"/>
        </w:rPr>
        <w:t>ll LSEs should consider cost and rate impacts on their customers when planning and submitting their individual IRPs, and, at a minimum, include a narrative description of their approach in support of this requirement.</w:t>
      </w:r>
    </w:p>
    <w:p w:rsidR="00AF0282" w:rsidRPr="00D6564C" w:rsidRDefault="00AF0282" w:rsidP="00AF0282">
      <w:pPr>
        <w:spacing w:after="200" w:line="276" w:lineRule="auto"/>
        <w:ind w:left="900"/>
        <w:rPr>
          <w:rFonts w:asciiTheme="minorHAnsi" w:eastAsiaTheme="minorHAnsi" w:hAnsiTheme="minorHAnsi" w:cstheme="minorBidi"/>
          <w:sz w:val="22"/>
          <w:szCs w:val="22"/>
          <w:highlight w:val="yellow"/>
        </w:rPr>
      </w:pPr>
      <w:r w:rsidRPr="00D6564C">
        <w:rPr>
          <w:rFonts w:asciiTheme="minorHAnsi" w:eastAsiaTheme="minorHAnsi" w:hAnsiTheme="minorHAnsi" w:cstheme="minorBidi"/>
          <w:i/>
          <w:sz w:val="22"/>
          <w:szCs w:val="22"/>
        </w:rPr>
        <w:t xml:space="preserve">Additionally, LSE Plans should account for any resources subject to the cost allocation mechanism (CAM) in their portfolios. </w:t>
      </w:r>
      <w:r>
        <w:rPr>
          <w:rFonts w:asciiTheme="minorHAnsi" w:eastAsiaTheme="minorHAnsi" w:hAnsiTheme="minorHAnsi" w:cstheme="minorBidi"/>
          <w:i/>
          <w:sz w:val="22"/>
          <w:szCs w:val="22"/>
        </w:rPr>
        <w:t xml:space="preserve">In estimating the resource adequacy benefits of resources subject to the CAM in its Conforming Portfolio, each LSE should refer to the most recent </w:t>
      </w:r>
      <w:r w:rsidR="00E71B35">
        <w:rPr>
          <w:rFonts w:asciiTheme="minorHAnsi" w:eastAsiaTheme="minorHAnsi" w:hAnsiTheme="minorHAnsi" w:cstheme="minorBidi"/>
          <w:i/>
          <w:sz w:val="22"/>
          <w:szCs w:val="22"/>
        </w:rPr>
        <w:t xml:space="preserve">year-ahead </w:t>
      </w:r>
      <w:r>
        <w:rPr>
          <w:rFonts w:asciiTheme="minorHAnsi" w:eastAsiaTheme="minorHAnsi" w:hAnsiTheme="minorHAnsi" w:cstheme="minorBidi"/>
          <w:i/>
          <w:sz w:val="22"/>
          <w:szCs w:val="22"/>
        </w:rPr>
        <w:t>CAM resource list available on the Commission’s Resource Adequacy Compliance Materials webpage</w:t>
      </w:r>
      <w:r w:rsidR="00E71B35">
        <w:rPr>
          <w:rFonts w:asciiTheme="minorHAnsi" w:eastAsiaTheme="minorHAnsi" w:hAnsiTheme="minorHAnsi" w:cstheme="minorBidi"/>
          <w:i/>
          <w:sz w:val="22"/>
          <w:szCs w:val="22"/>
        </w:rPr>
        <w:t>.</w:t>
      </w:r>
      <w:r>
        <w:rPr>
          <w:rStyle w:val="FootnoteReference"/>
          <w:rFonts w:asciiTheme="minorHAnsi" w:eastAsiaTheme="minorHAnsi" w:hAnsiTheme="minorHAnsi" w:cstheme="minorBidi"/>
          <w:i/>
          <w:szCs w:val="22"/>
        </w:rPr>
        <w:footnoteReference w:id="4"/>
      </w:r>
      <w:r>
        <w:rPr>
          <w:rFonts w:asciiTheme="minorHAnsi" w:eastAsiaTheme="minorHAnsi" w:hAnsiTheme="minorHAnsi" w:cstheme="minorBidi"/>
          <w:i/>
          <w:sz w:val="22"/>
          <w:szCs w:val="22"/>
        </w:rPr>
        <w:t xml:space="preserve"> </w:t>
      </w:r>
      <w:r w:rsidR="00E71B35">
        <w:rPr>
          <w:rFonts w:asciiTheme="minorHAnsi" w:eastAsiaTheme="minorHAnsi" w:hAnsiTheme="minorHAnsi" w:cstheme="minorBidi"/>
          <w:i/>
          <w:sz w:val="22"/>
          <w:szCs w:val="22"/>
        </w:rPr>
        <w:t xml:space="preserve">The year-ahead CAM list itemizes the resource adequacy value benefiting all LSEs within a given </w:t>
      </w:r>
      <w:r w:rsidR="00AB4392">
        <w:rPr>
          <w:rFonts w:asciiTheme="minorHAnsi" w:eastAsiaTheme="minorHAnsi" w:hAnsiTheme="minorHAnsi" w:cstheme="minorBidi"/>
          <w:i/>
          <w:sz w:val="22"/>
          <w:szCs w:val="22"/>
        </w:rPr>
        <w:t>IOU service territory</w:t>
      </w:r>
      <w:r w:rsidR="00E71B35">
        <w:rPr>
          <w:rFonts w:asciiTheme="minorHAnsi" w:eastAsiaTheme="minorHAnsi" w:hAnsiTheme="minorHAnsi" w:cstheme="minorBidi"/>
          <w:i/>
          <w:sz w:val="22"/>
          <w:szCs w:val="22"/>
        </w:rPr>
        <w:t xml:space="preserve">, by month and year.  In developing </w:t>
      </w:r>
      <w:r w:rsidR="004740FC">
        <w:rPr>
          <w:rFonts w:asciiTheme="minorHAnsi" w:eastAsiaTheme="minorHAnsi" w:hAnsiTheme="minorHAnsi" w:cstheme="minorBidi"/>
          <w:i/>
          <w:sz w:val="22"/>
          <w:szCs w:val="22"/>
        </w:rPr>
        <w:t>its</w:t>
      </w:r>
      <w:r w:rsidR="00E71B35">
        <w:rPr>
          <w:rFonts w:asciiTheme="minorHAnsi" w:eastAsiaTheme="minorHAnsi" w:hAnsiTheme="minorHAnsi" w:cstheme="minorBidi"/>
          <w:i/>
          <w:sz w:val="22"/>
          <w:szCs w:val="22"/>
        </w:rPr>
        <w:t xml:space="preserve"> IRP portfolios, LSEs should assume </w:t>
      </w:r>
      <w:r w:rsidR="004740FC">
        <w:rPr>
          <w:rFonts w:asciiTheme="minorHAnsi" w:eastAsiaTheme="minorHAnsi" w:hAnsiTheme="minorHAnsi" w:cstheme="minorBidi"/>
          <w:i/>
          <w:sz w:val="22"/>
          <w:szCs w:val="22"/>
        </w:rPr>
        <w:t>its</w:t>
      </w:r>
      <w:r w:rsidR="00E71B35">
        <w:rPr>
          <w:rFonts w:asciiTheme="minorHAnsi" w:eastAsiaTheme="minorHAnsi" w:hAnsiTheme="minorHAnsi" w:cstheme="minorBidi"/>
          <w:i/>
          <w:sz w:val="22"/>
          <w:szCs w:val="22"/>
        </w:rPr>
        <w:t xml:space="preserve"> future resource adequacy obligations are </w:t>
      </w:r>
      <w:r w:rsidR="00282C43">
        <w:rPr>
          <w:rFonts w:asciiTheme="minorHAnsi" w:eastAsiaTheme="minorHAnsi" w:hAnsiTheme="minorHAnsi" w:cstheme="minorBidi"/>
          <w:i/>
          <w:sz w:val="22"/>
          <w:szCs w:val="22"/>
        </w:rPr>
        <w:t xml:space="preserve">reduced by </w:t>
      </w:r>
      <w:r w:rsidR="004740FC">
        <w:rPr>
          <w:rFonts w:asciiTheme="minorHAnsi" w:eastAsiaTheme="minorHAnsi" w:hAnsiTheme="minorHAnsi" w:cstheme="minorBidi"/>
          <w:i/>
          <w:sz w:val="22"/>
          <w:szCs w:val="22"/>
        </w:rPr>
        <w:t>its</w:t>
      </w:r>
      <w:r w:rsidR="00282C43">
        <w:rPr>
          <w:rFonts w:asciiTheme="minorHAnsi" w:eastAsiaTheme="minorHAnsi" w:hAnsiTheme="minorHAnsi" w:cstheme="minorBidi"/>
          <w:i/>
          <w:sz w:val="22"/>
          <w:szCs w:val="22"/>
        </w:rPr>
        <w:t xml:space="preserve"> </w:t>
      </w:r>
      <w:r w:rsidR="00B0648B">
        <w:rPr>
          <w:rFonts w:asciiTheme="minorHAnsi" w:eastAsiaTheme="minorHAnsi" w:hAnsiTheme="minorHAnsi" w:cstheme="minorBidi"/>
          <w:i/>
          <w:sz w:val="22"/>
          <w:szCs w:val="22"/>
        </w:rPr>
        <w:t>proportional share</w:t>
      </w:r>
      <w:r w:rsidR="00282C43">
        <w:rPr>
          <w:rFonts w:asciiTheme="minorHAnsi" w:eastAsiaTheme="minorHAnsi" w:hAnsiTheme="minorHAnsi" w:cstheme="minorBidi"/>
          <w:i/>
          <w:sz w:val="22"/>
          <w:szCs w:val="22"/>
        </w:rPr>
        <w:t xml:space="preserve"> of the resource adequacy value itemized in the year-ahead CAM list.  An LSE’s p</w:t>
      </w:r>
      <w:r w:rsidR="00B0648B">
        <w:rPr>
          <w:rFonts w:asciiTheme="minorHAnsi" w:eastAsiaTheme="minorHAnsi" w:hAnsiTheme="minorHAnsi" w:cstheme="minorBidi"/>
          <w:i/>
          <w:sz w:val="22"/>
          <w:szCs w:val="22"/>
        </w:rPr>
        <w:t>roportional share</w:t>
      </w:r>
      <w:r w:rsidR="00282C43">
        <w:rPr>
          <w:rFonts w:asciiTheme="minorHAnsi" w:eastAsiaTheme="minorHAnsi" w:hAnsiTheme="minorHAnsi" w:cstheme="minorBidi"/>
          <w:i/>
          <w:sz w:val="22"/>
          <w:szCs w:val="22"/>
        </w:rPr>
        <w:t xml:space="preserve"> is determined by its</w:t>
      </w:r>
      <w:r w:rsidR="00B0648B">
        <w:rPr>
          <w:rFonts w:asciiTheme="minorHAnsi" w:eastAsiaTheme="minorHAnsi" w:hAnsiTheme="minorHAnsi" w:cstheme="minorBidi"/>
          <w:i/>
          <w:sz w:val="22"/>
          <w:szCs w:val="22"/>
        </w:rPr>
        <w:t xml:space="preserve"> year-ahead </w:t>
      </w:r>
      <w:r w:rsidR="00282C43">
        <w:rPr>
          <w:rFonts w:asciiTheme="minorHAnsi" w:eastAsiaTheme="minorHAnsi" w:hAnsiTheme="minorHAnsi" w:cstheme="minorBidi"/>
          <w:i/>
          <w:sz w:val="22"/>
          <w:szCs w:val="22"/>
        </w:rPr>
        <w:t xml:space="preserve">share of peak load out of total </w:t>
      </w:r>
      <w:r w:rsidR="00AB4392">
        <w:rPr>
          <w:rFonts w:asciiTheme="minorHAnsi" w:eastAsiaTheme="minorHAnsi" w:hAnsiTheme="minorHAnsi" w:cstheme="minorBidi"/>
          <w:i/>
          <w:sz w:val="22"/>
          <w:szCs w:val="22"/>
        </w:rPr>
        <w:t xml:space="preserve">coincident </w:t>
      </w:r>
      <w:r w:rsidR="00282C43">
        <w:rPr>
          <w:rFonts w:asciiTheme="minorHAnsi" w:eastAsiaTheme="minorHAnsi" w:hAnsiTheme="minorHAnsi" w:cstheme="minorBidi"/>
          <w:i/>
          <w:sz w:val="22"/>
          <w:szCs w:val="22"/>
        </w:rPr>
        <w:t xml:space="preserve">peak load for the </w:t>
      </w:r>
      <w:r w:rsidR="00AB4392">
        <w:rPr>
          <w:rFonts w:asciiTheme="minorHAnsi" w:eastAsiaTheme="minorHAnsi" w:hAnsiTheme="minorHAnsi" w:cstheme="minorBidi"/>
          <w:i/>
          <w:sz w:val="22"/>
          <w:szCs w:val="22"/>
        </w:rPr>
        <w:t>IOU service territory</w:t>
      </w:r>
      <w:r w:rsidR="00282C43">
        <w:rPr>
          <w:rFonts w:asciiTheme="minorHAnsi" w:eastAsiaTheme="minorHAnsi" w:hAnsiTheme="minorHAnsi" w:cstheme="minorBidi"/>
          <w:i/>
          <w:sz w:val="22"/>
          <w:szCs w:val="22"/>
        </w:rPr>
        <w:t xml:space="preserve"> the LSE is located in</w:t>
      </w:r>
      <w:r w:rsidR="00B0648B">
        <w:rPr>
          <w:rFonts w:asciiTheme="minorHAnsi" w:eastAsiaTheme="minorHAnsi" w:hAnsiTheme="minorHAnsi" w:cstheme="minorBidi"/>
          <w:i/>
          <w:sz w:val="22"/>
          <w:szCs w:val="22"/>
        </w:rPr>
        <w:t>, as assigned in the Commission’s annual resource adequacy process</w:t>
      </w:r>
      <w:r w:rsidR="00282C43">
        <w:rPr>
          <w:rFonts w:asciiTheme="minorHAnsi" w:eastAsiaTheme="minorHAnsi" w:hAnsiTheme="minorHAnsi" w:cstheme="minorBidi"/>
          <w:i/>
          <w:sz w:val="22"/>
          <w:szCs w:val="22"/>
        </w:rPr>
        <w:t xml:space="preserve">. </w:t>
      </w:r>
      <w:r w:rsidR="00B0648B">
        <w:rPr>
          <w:rFonts w:asciiTheme="minorHAnsi" w:eastAsiaTheme="minorHAnsi" w:hAnsiTheme="minorHAnsi" w:cstheme="minorBidi"/>
          <w:i/>
          <w:sz w:val="22"/>
          <w:szCs w:val="22"/>
        </w:rPr>
        <w:t xml:space="preserve"> The LSE’</w:t>
      </w:r>
      <w:r w:rsidR="004740FC">
        <w:rPr>
          <w:rFonts w:asciiTheme="minorHAnsi" w:eastAsiaTheme="minorHAnsi" w:hAnsiTheme="minorHAnsi" w:cstheme="minorBidi"/>
          <w:i/>
          <w:sz w:val="22"/>
          <w:szCs w:val="22"/>
        </w:rPr>
        <w:t>s proportional share is assumed static through the IRP planning horizon for the purpose of projecting its share of CAM resource adequacy value, but will be updated each IRP cycle</w:t>
      </w:r>
      <w:r w:rsidR="00D2349B">
        <w:rPr>
          <w:rFonts w:asciiTheme="minorHAnsi" w:eastAsiaTheme="minorHAnsi" w:hAnsiTheme="minorHAnsi" w:cstheme="minorBidi"/>
          <w:i/>
          <w:sz w:val="22"/>
          <w:szCs w:val="22"/>
        </w:rPr>
        <w:t xml:space="preserve"> based on the current proportional share assignment from the</w:t>
      </w:r>
      <w:r w:rsidR="00D2349B" w:rsidRPr="00D2349B">
        <w:rPr>
          <w:rFonts w:asciiTheme="minorHAnsi" w:eastAsiaTheme="minorHAnsi" w:hAnsiTheme="minorHAnsi" w:cstheme="minorBidi"/>
          <w:i/>
          <w:sz w:val="22"/>
          <w:szCs w:val="22"/>
        </w:rPr>
        <w:t xml:space="preserve"> </w:t>
      </w:r>
      <w:r w:rsidR="00D2349B">
        <w:rPr>
          <w:rFonts w:asciiTheme="minorHAnsi" w:eastAsiaTheme="minorHAnsi" w:hAnsiTheme="minorHAnsi" w:cstheme="minorBidi"/>
          <w:i/>
          <w:sz w:val="22"/>
          <w:szCs w:val="22"/>
        </w:rPr>
        <w:t>Commission’s annual resource adequacy process</w:t>
      </w:r>
      <w:r w:rsidR="004740FC">
        <w:rPr>
          <w:rFonts w:asciiTheme="minorHAnsi" w:eastAsiaTheme="minorHAnsi" w:hAnsiTheme="minorHAnsi" w:cstheme="minorBidi"/>
          <w:i/>
          <w:sz w:val="22"/>
          <w:szCs w:val="22"/>
        </w:rPr>
        <w:t>.</w:t>
      </w:r>
      <w:r w:rsidR="00B0648B">
        <w:rPr>
          <w:rFonts w:asciiTheme="minorHAnsi" w:eastAsiaTheme="minorHAnsi" w:hAnsiTheme="minorHAnsi" w:cstheme="minorBidi"/>
          <w:i/>
          <w:sz w:val="22"/>
          <w:szCs w:val="22"/>
        </w:rPr>
        <w:t xml:space="preserve"> </w:t>
      </w:r>
      <w:r w:rsidRPr="00D6564C">
        <w:rPr>
          <w:rFonts w:asciiTheme="minorHAnsi" w:eastAsiaTheme="minorHAnsi" w:hAnsiTheme="minorHAnsi" w:cstheme="minorBidi"/>
          <w:i/>
          <w:sz w:val="22"/>
          <w:szCs w:val="22"/>
        </w:rPr>
        <w:t xml:space="preserve">LSEs should not make assumptions or predictions on what resources may be </w:t>
      </w:r>
      <w:r>
        <w:rPr>
          <w:rFonts w:asciiTheme="minorHAnsi" w:eastAsiaTheme="minorHAnsi" w:hAnsiTheme="minorHAnsi" w:cstheme="minorBidi"/>
          <w:i/>
          <w:sz w:val="22"/>
          <w:szCs w:val="22"/>
        </w:rPr>
        <w:t xml:space="preserve">procured on behalf of all </w:t>
      </w:r>
      <w:proofErr w:type="gramStart"/>
      <w:r>
        <w:rPr>
          <w:rFonts w:asciiTheme="minorHAnsi" w:eastAsiaTheme="minorHAnsi" w:hAnsiTheme="minorHAnsi" w:cstheme="minorBidi"/>
          <w:i/>
          <w:sz w:val="22"/>
          <w:szCs w:val="22"/>
        </w:rPr>
        <w:t>load</w:t>
      </w:r>
      <w:proofErr w:type="gramEnd"/>
      <w:r>
        <w:rPr>
          <w:rFonts w:asciiTheme="minorHAnsi" w:eastAsiaTheme="minorHAnsi" w:hAnsiTheme="minorHAnsi" w:cstheme="minorBidi"/>
          <w:i/>
          <w:sz w:val="22"/>
          <w:szCs w:val="22"/>
        </w:rPr>
        <w:t xml:space="preserve"> and </w:t>
      </w:r>
      <w:r w:rsidRPr="00D6564C">
        <w:rPr>
          <w:rFonts w:asciiTheme="minorHAnsi" w:eastAsiaTheme="minorHAnsi" w:hAnsiTheme="minorHAnsi" w:cstheme="minorBidi"/>
          <w:i/>
          <w:sz w:val="22"/>
          <w:szCs w:val="22"/>
        </w:rPr>
        <w:t>subject to the CAM in the future.</w:t>
      </w:r>
    </w:p>
    <w:p w:rsidR="00AF0282" w:rsidRPr="00D6564C" w:rsidRDefault="00AF0282" w:rsidP="00AF0282">
      <w:pPr>
        <w:keepNext/>
        <w:keepLines/>
        <w:numPr>
          <w:ilvl w:val="1"/>
          <w:numId w:val="1"/>
        </w:numPr>
        <w:spacing w:before="480" w:after="240" w:line="276" w:lineRule="auto"/>
        <w:ind w:left="864" w:hanging="504"/>
        <w:outlineLvl w:val="1"/>
        <w:rPr>
          <w:rFonts w:asciiTheme="majorHAnsi" w:eastAsiaTheme="majorEastAsia" w:hAnsiTheme="majorHAnsi" w:cstheme="majorBidi"/>
          <w:b/>
          <w:bCs/>
          <w:sz w:val="24"/>
          <w:szCs w:val="28"/>
        </w:rPr>
      </w:pPr>
      <w:bookmarkStart w:id="25" w:name="_Toc500329357"/>
      <w:bookmarkStart w:id="26" w:name="_Toc500430353"/>
      <w:bookmarkStart w:id="27" w:name="_Toc500329358"/>
      <w:bookmarkStart w:id="28" w:name="_Toc500430354"/>
      <w:bookmarkStart w:id="29" w:name="_Toc500329359"/>
      <w:bookmarkStart w:id="30" w:name="_Toc500430355"/>
      <w:bookmarkStart w:id="31" w:name="_Toc501375930"/>
      <w:bookmarkEnd w:id="25"/>
      <w:bookmarkEnd w:id="26"/>
      <w:bookmarkEnd w:id="27"/>
      <w:bookmarkEnd w:id="28"/>
      <w:bookmarkEnd w:id="29"/>
      <w:bookmarkEnd w:id="30"/>
      <w:r w:rsidRPr="00D6564C">
        <w:rPr>
          <w:rFonts w:asciiTheme="majorHAnsi" w:eastAsiaTheme="majorEastAsia" w:hAnsiTheme="majorHAnsi" w:cstheme="majorBidi"/>
          <w:b/>
          <w:bCs/>
          <w:sz w:val="24"/>
          <w:szCs w:val="28"/>
        </w:rPr>
        <w:t>Deviations from Current Resource Plans</w:t>
      </w:r>
      <w:bookmarkEnd w:id="31"/>
    </w:p>
    <w:p w:rsidR="00AF0282" w:rsidRPr="00D6564C" w:rsidRDefault="00AF0282" w:rsidP="00AF0282">
      <w:pPr>
        <w:spacing w:after="200" w:line="276" w:lineRule="auto"/>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Describe and quantify any differences in the quantities and/or budgets for procurement between the LSE’s Preferred Plan and any currently filed or authorized resource plans, including, but not limited to: Bundled Plans, RPS Plans, Energy Efficiency Business Plans, Distributed Resource Plans, and specific procurement-related applications.</w:t>
      </w:r>
    </w:p>
    <w:p w:rsidR="00AF0282" w:rsidRPr="00D6564C" w:rsidRDefault="00AF0282" w:rsidP="00AF0282">
      <w:pPr>
        <w:keepNext/>
        <w:keepLines/>
        <w:numPr>
          <w:ilvl w:val="1"/>
          <w:numId w:val="1"/>
        </w:numPr>
        <w:spacing w:before="480" w:after="240" w:line="276" w:lineRule="auto"/>
        <w:ind w:left="864" w:hanging="504"/>
        <w:outlineLvl w:val="1"/>
        <w:rPr>
          <w:rFonts w:asciiTheme="majorHAnsi" w:eastAsiaTheme="majorEastAsia" w:hAnsiTheme="majorHAnsi" w:cstheme="majorBidi"/>
          <w:b/>
          <w:bCs/>
          <w:sz w:val="24"/>
          <w:szCs w:val="28"/>
        </w:rPr>
      </w:pPr>
      <w:bookmarkStart w:id="32" w:name="_Toc501375931"/>
      <w:r w:rsidRPr="00D6564C">
        <w:rPr>
          <w:rFonts w:asciiTheme="majorHAnsi" w:eastAsiaTheme="majorEastAsia" w:hAnsiTheme="majorHAnsi" w:cstheme="majorBidi"/>
          <w:b/>
          <w:bCs/>
          <w:sz w:val="24"/>
          <w:szCs w:val="28"/>
        </w:rPr>
        <w:lastRenderedPageBreak/>
        <w:t>Local Needs Analysis</w:t>
      </w:r>
      <w:bookmarkEnd w:id="32"/>
    </w:p>
    <w:p w:rsidR="00AF0282" w:rsidRPr="00D6564C" w:rsidRDefault="00AF0282" w:rsidP="00AF0282">
      <w:pPr>
        <w:spacing w:after="200" w:line="276" w:lineRule="auto"/>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LSEs that serve load within a CAISO-defined local capacity area must report the LSE’s own assessment of how it will meet the local capacity needs projected in the most recent CAISO Transmission Plan.</w:t>
      </w:r>
      <w:r>
        <w:rPr>
          <w:rStyle w:val="FootnoteReference"/>
          <w:rFonts w:asciiTheme="minorHAnsi" w:eastAsiaTheme="minorHAnsi" w:hAnsiTheme="minorHAnsi" w:cstheme="minorBidi"/>
          <w:i/>
          <w:szCs w:val="22"/>
        </w:rPr>
        <w:footnoteReference w:id="5"/>
      </w:r>
      <w:r w:rsidR="00F737E9" w:rsidRPr="00F737E9">
        <w:rPr>
          <w:rFonts w:ascii="Calibri" w:eastAsia="Calibri" w:hAnsi="Calibri" w:cs="Calibri"/>
          <w:i/>
          <w:spacing w:val="-1"/>
          <w:sz w:val="22"/>
          <w:szCs w:val="22"/>
        </w:rPr>
        <w:t xml:space="preserve"> </w:t>
      </w:r>
      <w:r w:rsidR="00F737E9">
        <w:rPr>
          <w:rFonts w:ascii="Calibri" w:eastAsia="Calibri" w:hAnsi="Calibri" w:cs="Calibri"/>
          <w:i/>
          <w:spacing w:val="-1"/>
          <w:sz w:val="22"/>
          <w:szCs w:val="22"/>
        </w:rPr>
        <w:t xml:space="preserve">In doing so, </w:t>
      </w:r>
      <w:r w:rsidR="00F737E9" w:rsidRPr="00F26A94">
        <w:rPr>
          <w:rFonts w:ascii="Calibri" w:eastAsia="Calibri" w:hAnsi="Calibri" w:cs="Calibri"/>
          <w:i/>
          <w:spacing w:val="-1"/>
          <w:sz w:val="22"/>
          <w:szCs w:val="22"/>
        </w:rPr>
        <w:t xml:space="preserve">LSEs should use the Local Capacity Technical Analysis (LCT) reports for years 2018 and 2022 associated with the CAISO board-approved </w:t>
      </w:r>
      <w:proofErr w:type="gramStart"/>
      <w:r w:rsidR="00F737E9" w:rsidRPr="00F26A94">
        <w:rPr>
          <w:rFonts w:ascii="Calibri" w:eastAsia="Calibri" w:hAnsi="Calibri" w:cs="Calibri"/>
          <w:i/>
          <w:spacing w:val="-1"/>
          <w:sz w:val="22"/>
          <w:szCs w:val="22"/>
        </w:rPr>
        <w:t>2017-18 Transmission Plan</w:t>
      </w:r>
      <w:proofErr w:type="gramEnd"/>
      <w:r w:rsidR="00F737E9" w:rsidRPr="00F26A94">
        <w:rPr>
          <w:rFonts w:ascii="Calibri" w:eastAsia="Calibri" w:hAnsi="Calibri" w:cs="Calibri"/>
          <w:i/>
          <w:spacing w:val="-1"/>
          <w:sz w:val="22"/>
          <w:szCs w:val="22"/>
        </w:rPr>
        <w:t xml:space="preserve"> when developing the local needs analysis of their Conforming Portfolios. LSEs may use the 2017 IEPR-based final LCT reports for 2019 and 2023 (expected to be available by the end of May2018 at the latest) to develop a local needs analysis i</w:t>
      </w:r>
      <w:r w:rsidR="00F737E9">
        <w:rPr>
          <w:rFonts w:ascii="Calibri" w:eastAsia="Calibri" w:hAnsi="Calibri" w:cs="Calibri"/>
          <w:i/>
          <w:spacing w:val="-1"/>
          <w:sz w:val="22"/>
          <w:szCs w:val="22"/>
        </w:rPr>
        <w:t>n their Alternative Portfolios.</w:t>
      </w:r>
      <w:r w:rsidR="00F737E9">
        <w:rPr>
          <w:rStyle w:val="FootnoteReference"/>
          <w:rFonts w:ascii="Calibri" w:eastAsia="Calibri" w:hAnsi="Calibri" w:cs="Calibri"/>
          <w:i/>
          <w:spacing w:val="-1"/>
          <w:sz w:val="22"/>
          <w:szCs w:val="22"/>
        </w:rPr>
        <w:footnoteReference w:id="6"/>
      </w:r>
      <w:r w:rsidR="00D2349B">
        <w:rPr>
          <w:rFonts w:ascii="Calibri" w:eastAsia="Calibri" w:hAnsi="Calibri" w:cs="Calibri"/>
          <w:i/>
          <w:spacing w:val="-1"/>
          <w:sz w:val="22"/>
          <w:szCs w:val="22"/>
        </w:rPr>
        <w:t xml:space="preserve">  LSEs should use the </w:t>
      </w:r>
      <w:r w:rsidR="00D2349B">
        <w:rPr>
          <w:rFonts w:asciiTheme="minorHAnsi" w:eastAsiaTheme="minorHAnsi" w:hAnsiTheme="minorHAnsi" w:cstheme="minorBidi"/>
          <w:i/>
          <w:sz w:val="22"/>
          <w:szCs w:val="22"/>
        </w:rPr>
        <w:t xml:space="preserve">Commission’s resource adequacy program’s definition of local capacity areas for the purposes of the local needs analysis.  These areas are: Greater Bay Area, </w:t>
      </w:r>
      <w:r w:rsidR="00D2349B" w:rsidRPr="00D2349B">
        <w:rPr>
          <w:rFonts w:asciiTheme="minorHAnsi" w:eastAsiaTheme="minorHAnsi" w:hAnsiTheme="minorHAnsi" w:cstheme="minorBidi"/>
          <w:i/>
          <w:sz w:val="22"/>
          <w:szCs w:val="22"/>
        </w:rPr>
        <w:t xml:space="preserve">Big Creek Ventura, CAISO System, LA Basin, San Diego IV, </w:t>
      </w:r>
      <w:r w:rsidR="00D2349B">
        <w:rPr>
          <w:rFonts w:asciiTheme="minorHAnsi" w:eastAsiaTheme="minorHAnsi" w:hAnsiTheme="minorHAnsi" w:cstheme="minorBidi"/>
          <w:i/>
          <w:sz w:val="22"/>
          <w:szCs w:val="22"/>
        </w:rPr>
        <w:t xml:space="preserve">and </w:t>
      </w:r>
      <w:r w:rsidR="00D2349B" w:rsidRPr="00D2349B">
        <w:rPr>
          <w:rFonts w:asciiTheme="minorHAnsi" w:eastAsiaTheme="minorHAnsi" w:hAnsiTheme="minorHAnsi" w:cstheme="minorBidi"/>
          <w:i/>
          <w:sz w:val="22"/>
          <w:szCs w:val="22"/>
        </w:rPr>
        <w:t>Other PG&amp;E</w:t>
      </w:r>
      <w:r w:rsidR="00D2349B">
        <w:rPr>
          <w:rFonts w:asciiTheme="minorHAnsi" w:eastAsiaTheme="minorHAnsi" w:hAnsiTheme="minorHAnsi" w:cstheme="minorBidi"/>
          <w:i/>
          <w:sz w:val="22"/>
          <w:szCs w:val="22"/>
        </w:rPr>
        <w:t>.</w:t>
      </w:r>
    </w:p>
    <w:p w:rsidR="00AF0282" w:rsidRPr="00D6564C" w:rsidRDefault="00AF0282" w:rsidP="00AF0282">
      <w:pPr>
        <w:keepNext/>
        <w:keepLines/>
        <w:numPr>
          <w:ilvl w:val="0"/>
          <w:numId w:val="1"/>
        </w:numPr>
        <w:spacing w:before="480" w:after="240" w:line="276" w:lineRule="auto"/>
        <w:ind w:left="360"/>
        <w:outlineLvl w:val="0"/>
        <w:rPr>
          <w:rFonts w:asciiTheme="majorHAnsi" w:eastAsiaTheme="majorEastAsia" w:hAnsiTheme="majorHAnsi" w:cstheme="majorBidi"/>
          <w:b/>
          <w:bCs/>
          <w:sz w:val="28"/>
          <w:szCs w:val="28"/>
        </w:rPr>
      </w:pPr>
      <w:bookmarkStart w:id="33" w:name="_Toc501375932"/>
      <w:r w:rsidRPr="00D6564C">
        <w:rPr>
          <w:rFonts w:asciiTheme="majorHAnsi" w:eastAsiaTheme="majorEastAsia" w:hAnsiTheme="majorHAnsi" w:cstheme="majorBidi"/>
          <w:b/>
          <w:bCs/>
          <w:sz w:val="28"/>
          <w:szCs w:val="28"/>
        </w:rPr>
        <w:t>Action Plan</w:t>
      </w:r>
      <w:bookmarkEnd w:id="33"/>
    </w:p>
    <w:p w:rsidR="00AF0282" w:rsidRPr="00D6564C" w:rsidRDefault="00AF0282" w:rsidP="00AF0282">
      <w:pPr>
        <w:spacing w:after="20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This section will present all the actions that the LSE proposes to take in the next 1-3 years to implement its LSE Plan.</w:t>
      </w:r>
    </w:p>
    <w:p w:rsidR="00AF0282" w:rsidRPr="00D6564C" w:rsidRDefault="00AF0282" w:rsidP="00AF0282">
      <w:pPr>
        <w:keepNext/>
        <w:keepLines/>
        <w:numPr>
          <w:ilvl w:val="1"/>
          <w:numId w:val="1"/>
        </w:numPr>
        <w:spacing w:before="480" w:after="240" w:line="276" w:lineRule="auto"/>
        <w:ind w:left="864" w:hanging="504"/>
        <w:outlineLvl w:val="1"/>
        <w:rPr>
          <w:rFonts w:asciiTheme="majorHAnsi" w:eastAsiaTheme="majorEastAsia" w:hAnsiTheme="majorHAnsi" w:cstheme="majorBidi"/>
          <w:b/>
          <w:bCs/>
          <w:sz w:val="24"/>
          <w:szCs w:val="28"/>
        </w:rPr>
      </w:pPr>
      <w:bookmarkStart w:id="34" w:name="_Toc501375933"/>
      <w:r w:rsidRPr="00D6564C">
        <w:rPr>
          <w:rFonts w:asciiTheme="majorHAnsi" w:eastAsiaTheme="majorEastAsia" w:hAnsiTheme="majorHAnsi" w:cstheme="majorBidi"/>
          <w:b/>
          <w:bCs/>
          <w:sz w:val="24"/>
          <w:szCs w:val="28"/>
        </w:rPr>
        <w:t>Proposed Activities</w:t>
      </w:r>
      <w:bookmarkEnd w:id="34"/>
    </w:p>
    <w:p w:rsidR="00AF0282" w:rsidRDefault="00AF0282" w:rsidP="00AF0282">
      <w:pPr>
        <w:spacing w:after="200" w:line="276" w:lineRule="auto"/>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Describe any near-term activities the LSE proposes to undertake across resource types in order to implement its LSE Plan</w:t>
      </w:r>
      <w:r>
        <w:rPr>
          <w:rFonts w:asciiTheme="minorHAnsi" w:eastAsiaTheme="minorHAnsi" w:hAnsiTheme="minorHAnsi" w:cstheme="minorBidi"/>
          <w:i/>
          <w:sz w:val="22"/>
          <w:szCs w:val="22"/>
        </w:rPr>
        <w:t>, including any information on proposed and procurement-related activities as required by the Commission decision on</w:t>
      </w:r>
      <w:r w:rsidRPr="001D5A4D">
        <w:rPr>
          <w:rFonts w:asciiTheme="minorHAnsi" w:eastAsiaTheme="minorHAnsi" w:hAnsiTheme="minorHAnsi" w:cstheme="minorBidi"/>
          <w:i/>
          <w:sz w:val="22"/>
          <w:szCs w:val="22"/>
        </w:rPr>
        <w:t xml:space="preserve"> </w:t>
      </w:r>
      <w:r>
        <w:rPr>
          <w:rFonts w:asciiTheme="minorHAnsi" w:eastAsiaTheme="minorHAnsi" w:hAnsiTheme="minorHAnsi" w:cstheme="minorBidi"/>
          <w:i/>
          <w:sz w:val="22"/>
          <w:szCs w:val="22"/>
        </w:rPr>
        <w:t>IRP</w:t>
      </w:r>
      <w:r w:rsidRPr="00D6564C">
        <w:rPr>
          <w:rFonts w:asciiTheme="minorHAnsi" w:eastAsiaTheme="minorHAnsi" w:hAnsiTheme="minorHAnsi" w:cstheme="minorBidi"/>
          <w:i/>
          <w:sz w:val="22"/>
          <w:szCs w:val="22"/>
        </w:rPr>
        <w:t xml:space="preserve">. Clearly describe how each </w:t>
      </w:r>
      <w:r>
        <w:rPr>
          <w:rFonts w:asciiTheme="minorHAnsi" w:eastAsiaTheme="minorHAnsi" w:hAnsiTheme="minorHAnsi" w:cstheme="minorBidi"/>
          <w:i/>
          <w:sz w:val="22"/>
          <w:szCs w:val="22"/>
        </w:rPr>
        <w:t xml:space="preserve">proposed </w:t>
      </w:r>
      <w:r w:rsidRPr="00D6564C">
        <w:rPr>
          <w:rFonts w:asciiTheme="minorHAnsi" w:eastAsiaTheme="minorHAnsi" w:hAnsiTheme="minorHAnsi" w:cstheme="minorBidi"/>
          <w:i/>
          <w:sz w:val="22"/>
          <w:szCs w:val="22"/>
        </w:rPr>
        <w:t>activity relates to the study results presented in Section 3: Study Results.</w:t>
      </w:r>
      <w:r w:rsidR="00F737E9">
        <w:rPr>
          <w:rFonts w:asciiTheme="minorHAnsi" w:eastAsiaTheme="minorHAnsi" w:hAnsiTheme="minorHAnsi" w:cstheme="minorBidi"/>
          <w:i/>
          <w:sz w:val="22"/>
          <w:szCs w:val="22"/>
        </w:rPr>
        <w:t xml:space="preserve"> </w:t>
      </w:r>
      <w:r w:rsidR="00F737E9">
        <w:rPr>
          <w:rFonts w:ascii="Calibri" w:eastAsia="Calibri" w:hAnsi="Calibri" w:cs="Calibri"/>
          <w:i/>
          <w:sz w:val="22"/>
          <w:szCs w:val="22"/>
        </w:rPr>
        <w:t xml:space="preserve">As stated in Section 3.b., if the LSE chooses a portfolio other than its Conforming Portfolio as its Preferred Portfolio, it should use this section to describe Proposed Activities for both portfolios. To the extent that any proposed activities would apply to both portfolios, the LSE may indicate </w:t>
      </w:r>
      <w:r w:rsidR="00887C82">
        <w:rPr>
          <w:rFonts w:ascii="Calibri" w:eastAsia="Calibri" w:hAnsi="Calibri" w:cs="Calibri"/>
          <w:i/>
          <w:sz w:val="22"/>
          <w:szCs w:val="22"/>
        </w:rPr>
        <w:t>as such</w:t>
      </w:r>
      <w:r w:rsidR="00F737E9">
        <w:rPr>
          <w:rFonts w:ascii="Calibri" w:eastAsia="Calibri" w:hAnsi="Calibri" w:cs="Calibri"/>
          <w:i/>
          <w:sz w:val="22"/>
          <w:szCs w:val="22"/>
        </w:rPr>
        <w:t xml:space="preserve"> rather than </w:t>
      </w:r>
      <w:r w:rsidR="00887C82">
        <w:rPr>
          <w:rFonts w:ascii="Calibri" w:eastAsia="Calibri" w:hAnsi="Calibri" w:cs="Calibri"/>
          <w:i/>
          <w:sz w:val="22"/>
          <w:szCs w:val="22"/>
        </w:rPr>
        <w:t>duplicate</w:t>
      </w:r>
      <w:r w:rsidR="00F737E9">
        <w:rPr>
          <w:rFonts w:ascii="Calibri" w:eastAsia="Calibri" w:hAnsi="Calibri" w:cs="Calibri"/>
          <w:i/>
          <w:sz w:val="22"/>
          <w:szCs w:val="22"/>
        </w:rPr>
        <w:t xml:space="preserve"> information.</w:t>
      </w:r>
    </w:p>
    <w:p w:rsidR="00AF0282" w:rsidRPr="00D6564C" w:rsidRDefault="00AF0282" w:rsidP="00AF0282">
      <w:pPr>
        <w:spacing w:after="200" w:line="276" w:lineRule="auto"/>
        <w:ind w:left="360"/>
        <w:rPr>
          <w:rFonts w:asciiTheme="minorHAnsi" w:eastAsiaTheme="minorHAnsi" w:hAnsiTheme="minorHAnsi" w:cstheme="minorBidi"/>
          <w:i/>
          <w:sz w:val="22"/>
          <w:szCs w:val="22"/>
        </w:rPr>
      </w:pPr>
      <w:r>
        <w:rPr>
          <w:rFonts w:asciiTheme="minorHAnsi" w:eastAsiaTheme="minorHAnsi" w:hAnsiTheme="minorHAnsi" w:cstheme="minorBidi"/>
          <w:i/>
          <w:sz w:val="22"/>
          <w:szCs w:val="22"/>
        </w:rPr>
        <w:t xml:space="preserve">Additionally, use this section to describe </w:t>
      </w:r>
      <w:r w:rsidRPr="000B5DE2">
        <w:rPr>
          <w:rFonts w:asciiTheme="minorHAnsi" w:eastAsiaTheme="minorHAnsi" w:hAnsiTheme="minorHAnsi" w:cstheme="minorBidi"/>
          <w:i/>
          <w:sz w:val="22"/>
          <w:szCs w:val="22"/>
        </w:rPr>
        <w:t>planned activities to conduct outreach and seek input from any disadvantaged communities that</w:t>
      </w:r>
      <w:r w:rsidRPr="005C2646">
        <w:rPr>
          <w:rFonts w:asciiTheme="minorHAnsi" w:eastAsiaTheme="minorHAnsi" w:hAnsiTheme="minorHAnsi" w:cstheme="minorBidi"/>
          <w:i/>
          <w:sz w:val="22"/>
          <w:szCs w:val="22"/>
        </w:rPr>
        <w:t xml:space="preserve"> could be impacted by</w:t>
      </w:r>
      <w:r w:rsidRPr="000B5DE2">
        <w:rPr>
          <w:rFonts w:asciiTheme="minorHAnsi" w:eastAsiaTheme="minorHAnsi" w:hAnsiTheme="minorHAnsi" w:cstheme="minorBidi"/>
          <w:i/>
          <w:sz w:val="22"/>
          <w:szCs w:val="22"/>
        </w:rPr>
        <w:t xml:space="preserve"> procurement</w:t>
      </w:r>
      <w:r>
        <w:rPr>
          <w:rFonts w:asciiTheme="minorHAnsi" w:eastAsiaTheme="minorHAnsi" w:hAnsiTheme="minorHAnsi" w:cstheme="minorBidi"/>
          <w:i/>
          <w:sz w:val="22"/>
          <w:szCs w:val="22"/>
        </w:rPr>
        <w:t xml:space="preserve"> resulting from the implementation of the LSE’s Plan. Include the criteria used to evaluate any proposed procurement located in disadvantaged communities (e.g., use of any scoring bonuses or any other mechanisms LSE has implemented to ensure its preferred portfolio complies statutory requirements related to procurement of projects in disadvantaged communities, as described in Sections </w:t>
      </w:r>
      <w:r w:rsidRPr="000B5DE2">
        <w:rPr>
          <w:rFonts w:asciiTheme="minorHAnsi" w:eastAsiaTheme="minorHAnsi" w:hAnsiTheme="minorHAnsi" w:cstheme="minorBidi"/>
          <w:i/>
          <w:sz w:val="22"/>
          <w:szCs w:val="22"/>
        </w:rPr>
        <w:t>454.5(b)(9)(D)(</w:t>
      </w:r>
      <w:proofErr w:type="spellStart"/>
      <w:r w:rsidRPr="000B5DE2">
        <w:rPr>
          <w:rFonts w:asciiTheme="minorHAnsi" w:eastAsiaTheme="minorHAnsi" w:hAnsiTheme="minorHAnsi" w:cstheme="minorBidi"/>
          <w:i/>
          <w:sz w:val="22"/>
          <w:szCs w:val="22"/>
        </w:rPr>
        <w:t>i</w:t>
      </w:r>
      <w:proofErr w:type="spellEnd"/>
      <w:r w:rsidRPr="000B5DE2">
        <w:rPr>
          <w:rFonts w:asciiTheme="minorHAnsi" w:eastAsiaTheme="minorHAnsi" w:hAnsiTheme="minorHAnsi" w:cstheme="minorBidi"/>
          <w:i/>
          <w:sz w:val="22"/>
          <w:szCs w:val="22"/>
        </w:rPr>
        <w:t>-ii)</w:t>
      </w:r>
      <w:r>
        <w:rPr>
          <w:rFonts w:asciiTheme="minorHAnsi" w:eastAsiaTheme="minorHAnsi" w:hAnsiTheme="minorHAnsi" w:cstheme="minorBidi"/>
          <w:i/>
          <w:sz w:val="22"/>
          <w:szCs w:val="22"/>
        </w:rPr>
        <w:t xml:space="preserve">, and </w:t>
      </w:r>
      <w:r w:rsidRPr="000B5DE2">
        <w:rPr>
          <w:rFonts w:asciiTheme="minorHAnsi" w:eastAsiaTheme="minorHAnsi" w:hAnsiTheme="minorHAnsi" w:cstheme="minorBidi"/>
          <w:i/>
          <w:sz w:val="22"/>
          <w:szCs w:val="22"/>
        </w:rPr>
        <w:t>399.13(a)(7)(A-B)</w:t>
      </w:r>
      <w:r>
        <w:rPr>
          <w:rFonts w:asciiTheme="minorHAnsi" w:eastAsiaTheme="minorHAnsi" w:hAnsiTheme="minorHAnsi" w:cstheme="minorBidi"/>
          <w:i/>
          <w:sz w:val="22"/>
          <w:szCs w:val="22"/>
        </w:rPr>
        <w:t>).</w:t>
      </w:r>
    </w:p>
    <w:p w:rsidR="00AF0282" w:rsidRPr="00D6564C" w:rsidRDefault="00AF0282" w:rsidP="00AF0282">
      <w:pPr>
        <w:keepNext/>
        <w:keepLines/>
        <w:numPr>
          <w:ilvl w:val="1"/>
          <w:numId w:val="1"/>
        </w:numPr>
        <w:spacing w:before="480" w:after="240" w:line="276" w:lineRule="auto"/>
        <w:ind w:left="864" w:hanging="504"/>
        <w:outlineLvl w:val="1"/>
        <w:rPr>
          <w:rFonts w:asciiTheme="majorHAnsi" w:eastAsiaTheme="majorEastAsia" w:hAnsiTheme="majorHAnsi" w:cstheme="majorBidi"/>
          <w:b/>
          <w:bCs/>
          <w:sz w:val="24"/>
          <w:szCs w:val="28"/>
        </w:rPr>
      </w:pPr>
      <w:bookmarkStart w:id="35" w:name="_Toc501375934"/>
      <w:r w:rsidRPr="00D6564C">
        <w:rPr>
          <w:rFonts w:asciiTheme="majorHAnsi" w:eastAsiaTheme="majorEastAsia" w:hAnsiTheme="majorHAnsi" w:cstheme="majorBidi"/>
          <w:b/>
          <w:bCs/>
          <w:sz w:val="24"/>
          <w:szCs w:val="28"/>
        </w:rPr>
        <w:lastRenderedPageBreak/>
        <w:t>Barrier Analysis</w:t>
      </w:r>
      <w:bookmarkEnd w:id="35"/>
    </w:p>
    <w:p w:rsidR="00AF0282" w:rsidRPr="00D6564C" w:rsidRDefault="00AF0282" w:rsidP="00AF0282">
      <w:pPr>
        <w:spacing w:after="120" w:line="276" w:lineRule="auto"/>
        <w:ind w:left="360"/>
        <w:rPr>
          <w:rFonts w:asciiTheme="minorHAnsi" w:eastAsiaTheme="minorHAnsi" w:hAnsiTheme="minorHAnsi" w:cstheme="minorBidi"/>
          <w:sz w:val="22"/>
          <w:szCs w:val="22"/>
        </w:rPr>
      </w:pPr>
      <w:r w:rsidRPr="00D6564C">
        <w:rPr>
          <w:rFonts w:asciiTheme="minorHAnsi" w:eastAsiaTheme="minorHAnsi" w:hAnsiTheme="minorHAnsi" w:cstheme="minorBidi"/>
          <w:i/>
          <w:sz w:val="22"/>
          <w:szCs w:val="22"/>
        </w:rPr>
        <w:t>Identify any market, regulatory, financial, or other barriers or risks associated with the LSE acquiring the resources identified in the Preferred Portfolio. Include an analysis of any risks associated with potential retirement of existing resources on which the LSE intends to rely in the future</w:t>
      </w:r>
      <w:r w:rsidRPr="00D6564C">
        <w:rPr>
          <w:rFonts w:asciiTheme="minorHAnsi" w:eastAsiaTheme="minorHAnsi" w:hAnsiTheme="minorHAnsi" w:cstheme="minorBidi"/>
          <w:sz w:val="22"/>
          <w:szCs w:val="22"/>
        </w:rPr>
        <w:t>.</w:t>
      </w:r>
    </w:p>
    <w:p w:rsidR="00AF0282" w:rsidRPr="00D6564C" w:rsidRDefault="00AF0282" w:rsidP="00AF0282">
      <w:pPr>
        <w:keepNext/>
        <w:keepLines/>
        <w:numPr>
          <w:ilvl w:val="1"/>
          <w:numId w:val="1"/>
        </w:numPr>
        <w:spacing w:before="480" w:after="240" w:line="276" w:lineRule="auto"/>
        <w:ind w:left="864" w:hanging="504"/>
        <w:outlineLvl w:val="1"/>
        <w:rPr>
          <w:rFonts w:asciiTheme="majorHAnsi" w:eastAsiaTheme="majorEastAsia" w:hAnsiTheme="majorHAnsi" w:cstheme="majorBidi"/>
          <w:b/>
          <w:bCs/>
          <w:sz w:val="24"/>
          <w:szCs w:val="28"/>
        </w:rPr>
      </w:pPr>
      <w:bookmarkStart w:id="36" w:name="_Toc500329369"/>
      <w:bookmarkStart w:id="37" w:name="_Toc500430365"/>
      <w:bookmarkStart w:id="38" w:name="_Toc501375935"/>
      <w:bookmarkEnd w:id="36"/>
      <w:bookmarkEnd w:id="37"/>
      <w:r w:rsidRPr="00D6564C">
        <w:rPr>
          <w:rFonts w:asciiTheme="majorHAnsi" w:eastAsiaTheme="majorEastAsia" w:hAnsiTheme="majorHAnsi" w:cstheme="majorBidi"/>
          <w:b/>
          <w:bCs/>
          <w:sz w:val="24"/>
          <w:szCs w:val="28"/>
        </w:rPr>
        <w:t>Proposed Commission Direction</w:t>
      </w:r>
      <w:bookmarkEnd w:id="38"/>
    </w:p>
    <w:p w:rsidR="00AF0282" w:rsidRPr="00D6564C" w:rsidRDefault="00AF0282" w:rsidP="00AF0282">
      <w:pPr>
        <w:spacing w:after="200" w:line="276" w:lineRule="auto"/>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If applicable, describe any direction that the LSE seeks from the Commission, including any new spending authorizations, changes to existing authorizations, or changes to existing programmatic goals or budgets. Clearly relate any requested direction to the study results, proposed activities, and barrier analysis presented above.</w:t>
      </w:r>
    </w:p>
    <w:p w:rsidR="00AF0282" w:rsidRPr="00D6564C" w:rsidRDefault="00AF0282" w:rsidP="00AF0282">
      <w:pPr>
        <w:keepNext/>
        <w:keepLines/>
        <w:numPr>
          <w:ilvl w:val="0"/>
          <w:numId w:val="1"/>
        </w:numPr>
        <w:spacing w:before="480" w:after="240" w:line="276" w:lineRule="auto"/>
        <w:ind w:left="360"/>
        <w:outlineLvl w:val="0"/>
        <w:rPr>
          <w:rFonts w:asciiTheme="majorHAnsi" w:eastAsiaTheme="majorEastAsia" w:hAnsiTheme="majorHAnsi" w:cstheme="majorBidi"/>
          <w:b/>
          <w:bCs/>
          <w:sz w:val="28"/>
          <w:szCs w:val="28"/>
        </w:rPr>
      </w:pPr>
      <w:bookmarkStart w:id="39" w:name="_Toc500329373"/>
      <w:bookmarkStart w:id="40" w:name="_Toc500430369"/>
      <w:bookmarkStart w:id="41" w:name="_Toc500329374"/>
      <w:bookmarkStart w:id="42" w:name="_Toc500430370"/>
      <w:bookmarkStart w:id="43" w:name="_Toc500329375"/>
      <w:bookmarkStart w:id="44" w:name="_Toc500430371"/>
      <w:bookmarkStart w:id="45" w:name="_Toc500329376"/>
      <w:bookmarkStart w:id="46" w:name="_Toc500430372"/>
      <w:bookmarkStart w:id="47" w:name="_Toc500329377"/>
      <w:bookmarkStart w:id="48" w:name="_Toc500430373"/>
      <w:bookmarkStart w:id="49" w:name="_Toc501375936"/>
      <w:bookmarkEnd w:id="39"/>
      <w:bookmarkEnd w:id="40"/>
      <w:bookmarkEnd w:id="41"/>
      <w:bookmarkEnd w:id="42"/>
      <w:bookmarkEnd w:id="43"/>
      <w:bookmarkEnd w:id="44"/>
      <w:bookmarkEnd w:id="45"/>
      <w:bookmarkEnd w:id="46"/>
      <w:bookmarkEnd w:id="47"/>
      <w:bookmarkEnd w:id="48"/>
      <w:r w:rsidRPr="00D6564C">
        <w:rPr>
          <w:rFonts w:asciiTheme="majorHAnsi" w:eastAsiaTheme="majorEastAsia" w:hAnsiTheme="majorHAnsi" w:cstheme="majorBidi"/>
          <w:b/>
          <w:bCs/>
          <w:sz w:val="28"/>
          <w:szCs w:val="28"/>
        </w:rPr>
        <w:t>Data</w:t>
      </w:r>
      <w:bookmarkEnd w:id="49"/>
    </w:p>
    <w:p w:rsidR="00AF0282" w:rsidRDefault="00AF0282" w:rsidP="00AF0282">
      <w:pPr>
        <w:spacing w:after="20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LSE IRP Plans require reporting of various data types.  Baseline resource portfolio data shall be reported in the “Baseline Resource Data Template</w:t>
      </w:r>
      <w:r w:rsidR="00BB1684">
        <w:rPr>
          <w:rFonts w:asciiTheme="minorHAnsi" w:eastAsiaTheme="minorHAnsi" w:hAnsiTheme="minorHAnsi" w:cstheme="minorBidi"/>
          <w:i/>
          <w:sz w:val="22"/>
          <w:szCs w:val="22"/>
        </w:rPr>
        <w:t>,</w:t>
      </w:r>
      <w:r w:rsidRPr="00D6564C">
        <w:rPr>
          <w:rFonts w:asciiTheme="minorHAnsi" w:eastAsiaTheme="minorHAnsi" w:hAnsiTheme="minorHAnsi" w:cstheme="minorBidi"/>
          <w:i/>
          <w:sz w:val="22"/>
          <w:szCs w:val="22"/>
        </w:rPr>
        <w:t xml:space="preserve">” </w:t>
      </w:r>
      <w:r w:rsidR="00BB1684">
        <w:rPr>
          <w:rFonts w:asciiTheme="minorHAnsi" w:eastAsiaTheme="minorHAnsi" w:hAnsiTheme="minorHAnsi" w:cstheme="minorBidi"/>
          <w:i/>
          <w:sz w:val="22"/>
          <w:szCs w:val="22"/>
        </w:rPr>
        <w:t>and</w:t>
      </w:r>
      <w:r w:rsidRPr="00D6564C">
        <w:rPr>
          <w:rFonts w:asciiTheme="minorHAnsi" w:eastAsiaTheme="minorHAnsi" w:hAnsiTheme="minorHAnsi" w:cstheme="minorBidi"/>
          <w:i/>
          <w:sz w:val="22"/>
          <w:szCs w:val="22"/>
        </w:rPr>
        <w:t xml:space="preserve"> </w:t>
      </w:r>
      <w:r w:rsidR="00BB1684">
        <w:rPr>
          <w:rFonts w:asciiTheme="minorHAnsi" w:eastAsiaTheme="minorHAnsi" w:hAnsiTheme="minorHAnsi" w:cstheme="minorBidi"/>
          <w:i/>
          <w:sz w:val="22"/>
          <w:szCs w:val="22"/>
        </w:rPr>
        <w:t>new</w:t>
      </w:r>
      <w:r w:rsidR="00BB1684" w:rsidRPr="00D6564C">
        <w:rPr>
          <w:rFonts w:asciiTheme="minorHAnsi" w:eastAsiaTheme="minorHAnsi" w:hAnsiTheme="minorHAnsi" w:cstheme="minorBidi"/>
          <w:i/>
          <w:sz w:val="22"/>
          <w:szCs w:val="22"/>
        </w:rPr>
        <w:t xml:space="preserve"> </w:t>
      </w:r>
      <w:r w:rsidRPr="00D6564C">
        <w:rPr>
          <w:rFonts w:asciiTheme="minorHAnsi" w:eastAsiaTheme="minorHAnsi" w:hAnsiTheme="minorHAnsi" w:cstheme="minorBidi"/>
          <w:i/>
          <w:sz w:val="22"/>
          <w:szCs w:val="22"/>
        </w:rPr>
        <w:t>resource portfolio data shall be reported in the “New Resource Data Template</w:t>
      </w:r>
      <w:r w:rsidR="00AE7986">
        <w:rPr>
          <w:rFonts w:asciiTheme="minorHAnsi" w:eastAsiaTheme="minorHAnsi" w:hAnsiTheme="minorHAnsi" w:cstheme="minorBidi"/>
          <w:i/>
          <w:sz w:val="22"/>
          <w:szCs w:val="22"/>
        </w:rPr>
        <w:t>.</w:t>
      </w:r>
      <w:r w:rsidRPr="00D6564C">
        <w:rPr>
          <w:rFonts w:asciiTheme="minorHAnsi" w:eastAsiaTheme="minorHAnsi" w:hAnsiTheme="minorHAnsi" w:cstheme="minorBidi"/>
          <w:i/>
          <w:sz w:val="22"/>
          <w:szCs w:val="22"/>
        </w:rPr>
        <w:t xml:space="preserve">” </w:t>
      </w:r>
      <w:r w:rsidR="00AE7986">
        <w:rPr>
          <w:rFonts w:asciiTheme="minorHAnsi" w:eastAsiaTheme="minorHAnsi" w:hAnsiTheme="minorHAnsi" w:cstheme="minorBidi"/>
          <w:i/>
          <w:sz w:val="22"/>
          <w:szCs w:val="22"/>
        </w:rPr>
        <w:t xml:space="preserve"> The most recent versions of </w:t>
      </w:r>
      <w:r w:rsidR="00BB1684">
        <w:rPr>
          <w:rFonts w:asciiTheme="minorHAnsi" w:eastAsiaTheme="minorHAnsi" w:hAnsiTheme="minorHAnsi" w:cstheme="minorBidi"/>
          <w:i/>
          <w:sz w:val="22"/>
          <w:szCs w:val="22"/>
        </w:rPr>
        <w:t>both</w:t>
      </w:r>
      <w:r w:rsidR="00AE7986">
        <w:rPr>
          <w:rFonts w:asciiTheme="minorHAnsi" w:eastAsiaTheme="minorHAnsi" w:hAnsiTheme="minorHAnsi" w:cstheme="minorBidi"/>
          <w:i/>
          <w:sz w:val="22"/>
          <w:szCs w:val="22"/>
        </w:rPr>
        <w:t xml:space="preserve"> </w:t>
      </w:r>
      <w:r w:rsidR="00BA32DA">
        <w:rPr>
          <w:rFonts w:asciiTheme="minorHAnsi" w:eastAsiaTheme="minorHAnsi" w:hAnsiTheme="minorHAnsi" w:cstheme="minorBidi"/>
          <w:i/>
          <w:sz w:val="22"/>
          <w:szCs w:val="22"/>
        </w:rPr>
        <w:t>d</w:t>
      </w:r>
      <w:r w:rsidR="00AE7986">
        <w:rPr>
          <w:rFonts w:asciiTheme="minorHAnsi" w:eastAsiaTheme="minorHAnsi" w:hAnsiTheme="minorHAnsi" w:cstheme="minorBidi"/>
          <w:i/>
          <w:sz w:val="22"/>
          <w:szCs w:val="22"/>
        </w:rPr>
        <w:t xml:space="preserve">ata </w:t>
      </w:r>
      <w:r w:rsidR="00BA32DA">
        <w:rPr>
          <w:rFonts w:asciiTheme="minorHAnsi" w:eastAsiaTheme="minorHAnsi" w:hAnsiTheme="minorHAnsi" w:cstheme="minorBidi"/>
          <w:i/>
          <w:sz w:val="22"/>
          <w:szCs w:val="22"/>
        </w:rPr>
        <w:t>t</w:t>
      </w:r>
      <w:r w:rsidR="00AE7986">
        <w:rPr>
          <w:rFonts w:asciiTheme="minorHAnsi" w:eastAsiaTheme="minorHAnsi" w:hAnsiTheme="minorHAnsi" w:cstheme="minorBidi"/>
          <w:i/>
          <w:sz w:val="22"/>
          <w:szCs w:val="22"/>
        </w:rPr>
        <w:t>emplates are</w:t>
      </w:r>
      <w:r w:rsidR="00BB1684">
        <w:rPr>
          <w:rFonts w:asciiTheme="minorHAnsi" w:eastAsiaTheme="minorHAnsi" w:hAnsiTheme="minorHAnsi" w:cstheme="minorBidi"/>
          <w:i/>
          <w:sz w:val="22"/>
          <w:szCs w:val="22"/>
        </w:rPr>
        <w:t xml:space="preserve"> </w:t>
      </w:r>
      <w:r w:rsidRPr="00D6564C">
        <w:rPr>
          <w:rFonts w:asciiTheme="minorHAnsi" w:eastAsiaTheme="minorHAnsi" w:hAnsiTheme="minorHAnsi" w:cstheme="minorBidi"/>
          <w:i/>
          <w:sz w:val="22"/>
          <w:szCs w:val="22"/>
        </w:rPr>
        <w:t>provided by the Commission</w:t>
      </w:r>
      <w:r w:rsidR="005D7CE2">
        <w:rPr>
          <w:rFonts w:asciiTheme="minorHAnsi" w:eastAsiaTheme="minorHAnsi" w:hAnsiTheme="minorHAnsi" w:cstheme="minorBidi"/>
          <w:i/>
          <w:sz w:val="22"/>
          <w:szCs w:val="22"/>
        </w:rPr>
        <w:t xml:space="preserve"> on the IRP Filing Materials and Templates webpage</w:t>
      </w:r>
      <w:r w:rsidRPr="00D6564C">
        <w:rPr>
          <w:rFonts w:asciiTheme="minorHAnsi" w:eastAsiaTheme="minorHAnsi" w:hAnsiTheme="minorHAnsi" w:cstheme="minorBidi"/>
          <w:i/>
          <w:sz w:val="22"/>
          <w:szCs w:val="22"/>
        </w:rPr>
        <w:t>.</w:t>
      </w:r>
      <w:r w:rsidRPr="00D6564C">
        <w:rPr>
          <w:rFonts w:asciiTheme="minorHAnsi" w:eastAsiaTheme="minorHAnsi" w:hAnsiTheme="minorHAnsi" w:cstheme="minorBidi"/>
          <w:i/>
          <w:sz w:val="22"/>
          <w:szCs w:val="22"/>
          <w:vertAlign w:val="superscript"/>
        </w:rPr>
        <w:footnoteReference w:id="7"/>
      </w:r>
      <w:r w:rsidRPr="00D6564C">
        <w:rPr>
          <w:rFonts w:asciiTheme="minorHAnsi" w:eastAsiaTheme="minorHAnsi" w:hAnsiTheme="minorHAnsi" w:cstheme="minorBidi"/>
          <w:i/>
          <w:sz w:val="22"/>
          <w:szCs w:val="22"/>
        </w:rPr>
        <w:t xml:space="preserve"> Other </w:t>
      </w:r>
      <w:r w:rsidR="00BA32DA">
        <w:rPr>
          <w:rFonts w:asciiTheme="minorHAnsi" w:eastAsiaTheme="minorHAnsi" w:hAnsiTheme="minorHAnsi" w:cstheme="minorBidi"/>
          <w:i/>
          <w:sz w:val="22"/>
          <w:szCs w:val="22"/>
        </w:rPr>
        <w:t>information</w:t>
      </w:r>
      <w:r w:rsidR="00BA32DA" w:rsidRPr="00D6564C">
        <w:rPr>
          <w:rFonts w:asciiTheme="minorHAnsi" w:eastAsiaTheme="minorHAnsi" w:hAnsiTheme="minorHAnsi" w:cstheme="minorBidi"/>
          <w:i/>
          <w:sz w:val="22"/>
          <w:szCs w:val="22"/>
        </w:rPr>
        <w:t xml:space="preserve"> </w:t>
      </w:r>
      <w:r w:rsidRPr="00D6564C">
        <w:rPr>
          <w:rFonts w:asciiTheme="minorHAnsi" w:eastAsiaTheme="minorHAnsi" w:hAnsiTheme="minorHAnsi" w:cstheme="minorBidi"/>
          <w:i/>
          <w:sz w:val="22"/>
          <w:szCs w:val="22"/>
        </w:rPr>
        <w:t>that is not asked for in these</w:t>
      </w:r>
      <w:r w:rsidR="00BA32DA">
        <w:rPr>
          <w:rFonts w:asciiTheme="minorHAnsi" w:eastAsiaTheme="minorHAnsi" w:hAnsiTheme="minorHAnsi" w:cstheme="minorBidi"/>
          <w:i/>
          <w:sz w:val="22"/>
          <w:szCs w:val="22"/>
        </w:rPr>
        <w:t xml:space="preserve"> data</w:t>
      </w:r>
      <w:r w:rsidRPr="00D6564C">
        <w:rPr>
          <w:rFonts w:asciiTheme="minorHAnsi" w:eastAsiaTheme="minorHAnsi" w:hAnsiTheme="minorHAnsi" w:cstheme="minorBidi"/>
          <w:i/>
          <w:sz w:val="22"/>
          <w:szCs w:val="22"/>
        </w:rPr>
        <w:t xml:space="preserve"> templates but is asked for in the reporting requirements described in the preceding sections shall follow the guidelines below in section 5</w:t>
      </w:r>
      <w:r w:rsidR="005445DB">
        <w:rPr>
          <w:rFonts w:asciiTheme="minorHAnsi" w:eastAsiaTheme="minorHAnsi" w:hAnsiTheme="minorHAnsi" w:cstheme="minorBidi"/>
          <w:i/>
          <w:sz w:val="22"/>
          <w:szCs w:val="22"/>
        </w:rPr>
        <w:t>c</w:t>
      </w:r>
      <w:r w:rsidRPr="00D6564C">
        <w:rPr>
          <w:rFonts w:asciiTheme="minorHAnsi" w:eastAsiaTheme="minorHAnsi" w:hAnsiTheme="minorHAnsi" w:cstheme="minorBidi"/>
          <w:i/>
          <w:sz w:val="22"/>
          <w:szCs w:val="22"/>
        </w:rPr>
        <w:t xml:space="preserve">. </w:t>
      </w:r>
    </w:p>
    <w:p w:rsidR="00BA32DA" w:rsidRDefault="00723A99" w:rsidP="00AF0282">
      <w:pPr>
        <w:spacing w:after="200" w:line="276" w:lineRule="auto"/>
        <w:rPr>
          <w:rFonts w:asciiTheme="minorHAnsi" w:eastAsiaTheme="minorHAnsi" w:hAnsiTheme="minorHAnsi" w:cstheme="minorBidi"/>
          <w:i/>
          <w:sz w:val="22"/>
          <w:szCs w:val="22"/>
        </w:rPr>
      </w:pPr>
      <w:r>
        <w:rPr>
          <w:rFonts w:asciiTheme="minorHAnsi" w:eastAsiaTheme="minorHAnsi" w:hAnsiTheme="minorHAnsi" w:cstheme="minorBidi"/>
          <w:i/>
          <w:sz w:val="22"/>
          <w:szCs w:val="22"/>
        </w:rPr>
        <w:t>Staff expects that e</w:t>
      </w:r>
      <w:r w:rsidR="00BA32DA">
        <w:rPr>
          <w:rFonts w:asciiTheme="minorHAnsi" w:eastAsiaTheme="minorHAnsi" w:hAnsiTheme="minorHAnsi" w:cstheme="minorBidi"/>
          <w:i/>
          <w:sz w:val="22"/>
          <w:szCs w:val="22"/>
        </w:rPr>
        <w:t xml:space="preserve">ach LSE </w:t>
      </w:r>
      <w:r>
        <w:rPr>
          <w:rFonts w:asciiTheme="minorHAnsi" w:eastAsiaTheme="minorHAnsi" w:hAnsiTheme="minorHAnsi" w:cstheme="minorBidi"/>
          <w:i/>
          <w:sz w:val="22"/>
          <w:szCs w:val="22"/>
        </w:rPr>
        <w:t>will</w:t>
      </w:r>
      <w:r w:rsidR="00BA32DA">
        <w:rPr>
          <w:rFonts w:asciiTheme="minorHAnsi" w:eastAsiaTheme="minorHAnsi" w:hAnsiTheme="minorHAnsi" w:cstheme="minorBidi"/>
          <w:i/>
          <w:sz w:val="22"/>
          <w:szCs w:val="22"/>
        </w:rPr>
        <w:t xml:space="preserve"> have </w:t>
      </w:r>
      <w:r>
        <w:rPr>
          <w:rFonts w:asciiTheme="minorHAnsi" w:eastAsiaTheme="minorHAnsi" w:hAnsiTheme="minorHAnsi" w:cstheme="minorBidi"/>
          <w:i/>
          <w:sz w:val="22"/>
          <w:szCs w:val="22"/>
        </w:rPr>
        <w:t xml:space="preserve">only </w:t>
      </w:r>
      <w:r w:rsidR="00BA32DA">
        <w:rPr>
          <w:rFonts w:asciiTheme="minorHAnsi" w:eastAsiaTheme="minorHAnsi" w:hAnsiTheme="minorHAnsi" w:cstheme="minorBidi"/>
          <w:i/>
          <w:sz w:val="22"/>
          <w:szCs w:val="22"/>
        </w:rPr>
        <w:t xml:space="preserve">one Baseline Resource Data Template workbook reporting baseline data, i.e. no difference in baseline between the LSE’s “Conforming Portfolio” or any “Alternative Portfolios.”  </w:t>
      </w:r>
      <w:r>
        <w:rPr>
          <w:rFonts w:asciiTheme="minorHAnsi" w:eastAsiaTheme="minorHAnsi" w:hAnsiTheme="minorHAnsi" w:cstheme="minorBidi"/>
          <w:i/>
          <w:sz w:val="22"/>
          <w:szCs w:val="22"/>
        </w:rPr>
        <w:t>In contrast, a</w:t>
      </w:r>
      <w:r w:rsidR="00BA32DA">
        <w:rPr>
          <w:rFonts w:asciiTheme="minorHAnsi" w:eastAsiaTheme="minorHAnsi" w:hAnsiTheme="minorHAnsi" w:cstheme="minorBidi"/>
          <w:i/>
          <w:sz w:val="22"/>
          <w:szCs w:val="22"/>
        </w:rPr>
        <w:t>n LSE may have multiple New Resource Data Templat</w:t>
      </w:r>
      <w:r w:rsidR="00C92D47">
        <w:rPr>
          <w:rFonts w:asciiTheme="minorHAnsi" w:eastAsiaTheme="minorHAnsi" w:hAnsiTheme="minorHAnsi" w:cstheme="minorBidi"/>
          <w:i/>
          <w:sz w:val="22"/>
          <w:szCs w:val="22"/>
        </w:rPr>
        <w:t>e workbooks reporting new resource data, i.e. one workbook for the “Conforming Portfolio” and one workbook for each “Alternative Portfolio.”</w:t>
      </w:r>
      <w:r>
        <w:rPr>
          <w:rFonts w:asciiTheme="minorHAnsi" w:eastAsiaTheme="minorHAnsi" w:hAnsiTheme="minorHAnsi" w:cstheme="minorBidi"/>
          <w:i/>
          <w:sz w:val="22"/>
          <w:szCs w:val="22"/>
        </w:rPr>
        <w:t xml:space="preserve">  However, staff anticipates some LSEs may have situations where they have differing baselines in the “Conforming Portfolio” vs. </w:t>
      </w:r>
      <w:r w:rsidR="00BF2A60">
        <w:rPr>
          <w:rFonts w:asciiTheme="minorHAnsi" w:eastAsiaTheme="minorHAnsi" w:hAnsiTheme="minorHAnsi" w:cstheme="minorBidi"/>
          <w:i/>
          <w:sz w:val="22"/>
          <w:szCs w:val="22"/>
        </w:rPr>
        <w:t>any</w:t>
      </w:r>
      <w:r>
        <w:rPr>
          <w:rFonts w:asciiTheme="minorHAnsi" w:eastAsiaTheme="minorHAnsi" w:hAnsiTheme="minorHAnsi" w:cstheme="minorBidi"/>
          <w:i/>
          <w:sz w:val="22"/>
          <w:szCs w:val="22"/>
        </w:rPr>
        <w:t xml:space="preserve"> “Alternative Portfolio</w:t>
      </w:r>
      <w:r w:rsidR="00BF2A60">
        <w:rPr>
          <w:rFonts w:asciiTheme="minorHAnsi" w:eastAsiaTheme="minorHAnsi" w:hAnsiTheme="minorHAnsi" w:cstheme="minorBidi"/>
          <w:i/>
          <w:sz w:val="22"/>
          <w:szCs w:val="22"/>
        </w:rPr>
        <w:t>s</w:t>
      </w:r>
      <w:r>
        <w:rPr>
          <w:rFonts w:asciiTheme="minorHAnsi" w:eastAsiaTheme="minorHAnsi" w:hAnsiTheme="minorHAnsi" w:cstheme="minorBidi"/>
          <w:i/>
          <w:sz w:val="22"/>
          <w:szCs w:val="22"/>
        </w:rPr>
        <w:t>.”  To allow for this possibility, the filename for the Baseline Resource Data Template shall include an identifier field to identify it as Conforming or Alternative, as described below.</w:t>
      </w:r>
    </w:p>
    <w:p w:rsidR="005D7CE2" w:rsidRPr="00D6564C" w:rsidRDefault="005D7CE2" w:rsidP="00AF0282">
      <w:pPr>
        <w:spacing w:after="200" w:line="276" w:lineRule="auto"/>
        <w:rPr>
          <w:rFonts w:asciiTheme="minorHAnsi" w:eastAsiaTheme="minorHAnsi" w:hAnsiTheme="minorHAnsi" w:cstheme="minorBidi"/>
          <w:i/>
          <w:sz w:val="22"/>
          <w:szCs w:val="22"/>
        </w:rPr>
      </w:pPr>
      <w:r>
        <w:rPr>
          <w:rFonts w:asciiTheme="minorHAnsi" w:eastAsiaTheme="minorHAnsi" w:hAnsiTheme="minorHAnsi" w:cstheme="minorBidi"/>
          <w:i/>
          <w:sz w:val="22"/>
          <w:szCs w:val="22"/>
        </w:rPr>
        <w:t>All cost data should be reported using 2016 dollars.  Convert nominal dollars using the IEPR dollar deflator series posted to the IRP Filing Materials and Templates webpage.</w:t>
      </w:r>
      <w:r>
        <w:rPr>
          <w:rStyle w:val="FootnoteReference"/>
          <w:rFonts w:asciiTheme="minorHAnsi" w:eastAsiaTheme="minorHAnsi" w:hAnsiTheme="minorHAnsi" w:cstheme="minorBidi"/>
          <w:i/>
          <w:szCs w:val="22"/>
        </w:rPr>
        <w:footnoteReference w:id="8"/>
      </w:r>
    </w:p>
    <w:p w:rsidR="00AF0282" w:rsidRPr="00D6564C" w:rsidRDefault="00AF0282" w:rsidP="00AF0282">
      <w:pPr>
        <w:keepNext/>
        <w:keepLines/>
        <w:numPr>
          <w:ilvl w:val="1"/>
          <w:numId w:val="1"/>
        </w:numPr>
        <w:spacing w:before="480" w:after="240" w:line="276" w:lineRule="auto"/>
        <w:ind w:left="864" w:hanging="504"/>
        <w:outlineLvl w:val="1"/>
        <w:rPr>
          <w:rFonts w:asciiTheme="majorHAnsi" w:eastAsiaTheme="majorEastAsia" w:hAnsiTheme="majorHAnsi" w:cstheme="majorBidi"/>
          <w:b/>
          <w:bCs/>
          <w:sz w:val="24"/>
          <w:szCs w:val="28"/>
        </w:rPr>
      </w:pPr>
      <w:bookmarkStart w:id="50" w:name="_Toc501375937"/>
      <w:r w:rsidRPr="00D6564C">
        <w:rPr>
          <w:rFonts w:asciiTheme="majorHAnsi" w:eastAsiaTheme="majorEastAsia" w:hAnsiTheme="majorHAnsi" w:cstheme="majorBidi"/>
          <w:b/>
          <w:bCs/>
          <w:sz w:val="24"/>
          <w:szCs w:val="28"/>
        </w:rPr>
        <w:t>Baseline Resource Data Template</w:t>
      </w:r>
      <w:bookmarkEnd w:id="50"/>
    </w:p>
    <w:p w:rsidR="00AF0282" w:rsidRPr="00D6564C" w:rsidRDefault="00AF0282" w:rsidP="00AF0282">
      <w:pPr>
        <w:spacing w:after="200" w:line="276" w:lineRule="auto"/>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xml:space="preserve">Follow the instructions within the template to report all resources under obligation to serve LSE load whether through an existing contractual or ownership relationship.  This includes </w:t>
      </w:r>
      <w:r w:rsidR="009A3883" w:rsidRPr="009A3883">
        <w:rPr>
          <w:rFonts w:asciiTheme="minorHAnsi" w:eastAsiaTheme="minorHAnsi" w:hAnsiTheme="minorHAnsi" w:cstheme="minorBidi"/>
          <w:i/>
          <w:sz w:val="22"/>
          <w:szCs w:val="22"/>
        </w:rPr>
        <w:t xml:space="preserve">resources on the </w:t>
      </w:r>
      <w:r w:rsidR="009A3883" w:rsidRPr="009A3883">
        <w:rPr>
          <w:rFonts w:asciiTheme="minorHAnsi" w:eastAsiaTheme="minorHAnsi" w:hAnsiTheme="minorHAnsi" w:cstheme="minorBidi"/>
          <w:i/>
          <w:sz w:val="22"/>
          <w:szCs w:val="22"/>
        </w:rPr>
        <w:lastRenderedPageBreak/>
        <w:t>3/15/2018 NQC List, or projects not yet online but that have secured a contract and may therefore be identified in the Commission’s RPS Contracts Database or an Application filed at the Commission, as of January 1, 2018.</w:t>
      </w:r>
      <w:r w:rsidRPr="00D6564C">
        <w:rPr>
          <w:rFonts w:asciiTheme="minorHAnsi" w:eastAsiaTheme="minorHAnsi" w:hAnsiTheme="minorHAnsi" w:cstheme="minorBidi"/>
          <w:i/>
          <w:sz w:val="22"/>
          <w:szCs w:val="22"/>
        </w:rPr>
        <w:t xml:space="preserve">  </w:t>
      </w:r>
      <w:r w:rsidR="0075255A" w:rsidRPr="0075255A">
        <w:rPr>
          <w:rFonts w:asciiTheme="minorHAnsi" w:eastAsiaTheme="minorHAnsi" w:hAnsiTheme="minorHAnsi" w:cstheme="minorBidi"/>
          <w:i/>
          <w:sz w:val="22"/>
          <w:szCs w:val="22"/>
        </w:rPr>
        <w:t xml:space="preserve">For situations where the LSE is reporting a current or future contract with unknown existing resource(s), report this information in this workbook, NOT the New Resource Data Template.  Existing Feed </w:t>
      </w:r>
      <w:proofErr w:type="gramStart"/>
      <w:r w:rsidR="0075255A" w:rsidRPr="0075255A">
        <w:rPr>
          <w:rFonts w:asciiTheme="minorHAnsi" w:eastAsiaTheme="minorHAnsi" w:hAnsiTheme="minorHAnsi" w:cstheme="minorBidi"/>
          <w:i/>
          <w:sz w:val="22"/>
          <w:szCs w:val="22"/>
        </w:rPr>
        <w:t>In</w:t>
      </w:r>
      <w:proofErr w:type="gramEnd"/>
      <w:r w:rsidR="0075255A" w:rsidRPr="0075255A">
        <w:rPr>
          <w:rFonts w:asciiTheme="minorHAnsi" w:eastAsiaTheme="minorHAnsi" w:hAnsiTheme="minorHAnsi" w:cstheme="minorBidi"/>
          <w:i/>
          <w:sz w:val="22"/>
          <w:szCs w:val="22"/>
        </w:rPr>
        <w:t xml:space="preserve"> Tariff contracts (which do not have a CAISO Resource ID) are also reported in this workbook.</w:t>
      </w:r>
      <w:r w:rsidR="00D2349B" w:rsidRPr="00D2349B">
        <w:t xml:space="preserve"> </w:t>
      </w:r>
      <w:r w:rsidR="00D2349B" w:rsidRPr="00D2349B">
        <w:rPr>
          <w:rFonts w:asciiTheme="minorHAnsi" w:eastAsiaTheme="minorHAnsi" w:hAnsiTheme="minorHAnsi" w:cstheme="minorBidi"/>
          <w:i/>
          <w:sz w:val="22"/>
          <w:szCs w:val="22"/>
        </w:rPr>
        <w:t xml:space="preserve">Existing shares of CAM </w:t>
      </w:r>
      <w:r w:rsidR="000B498F">
        <w:rPr>
          <w:rFonts w:asciiTheme="minorHAnsi" w:eastAsiaTheme="minorHAnsi" w:hAnsiTheme="minorHAnsi" w:cstheme="minorBidi"/>
          <w:i/>
          <w:sz w:val="22"/>
          <w:szCs w:val="22"/>
        </w:rPr>
        <w:t xml:space="preserve">system </w:t>
      </w:r>
      <w:r w:rsidR="00D2349B" w:rsidRPr="00D2349B">
        <w:rPr>
          <w:rFonts w:asciiTheme="minorHAnsi" w:eastAsiaTheme="minorHAnsi" w:hAnsiTheme="minorHAnsi" w:cstheme="minorBidi"/>
          <w:i/>
          <w:sz w:val="22"/>
          <w:szCs w:val="22"/>
        </w:rPr>
        <w:t xml:space="preserve">capacity as assigned in CPUC's Resource Adequacy program and projected to future years are </w:t>
      </w:r>
      <w:r w:rsidR="00D2349B">
        <w:rPr>
          <w:rFonts w:asciiTheme="minorHAnsi" w:eastAsiaTheme="minorHAnsi" w:hAnsiTheme="minorHAnsi" w:cstheme="minorBidi"/>
          <w:i/>
          <w:sz w:val="22"/>
          <w:szCs w:val="22"/>
        </w:rPr>
        <w:t xml:space="preserve">also </w:t>
      </w:r>
      <w:r w:rsidR="00D2349B" w:rsidRPr="00D2349B">
        <w:rPr>
          <w:rFonts w:asciiTheme="minorHAnsi" w:eastAsiaTheme="minorHAnsi" w:hAnsiTheme="minorHAnsi" w:cstheme="minorBidi"/>
          <w:i/>
          <w:sz w:val="22"/>
          <w:szCs w:val="22"/>
        </w:rPr>
        <w:t>reported in this workbook.</w:t>
      </w:r>
    </w:p>
    <w:p w:rsidR="00AF0282" w:rsidRPr="00D6564C" w:rsidRDefault="00AF0282" w:rsidP="00AF0282">
      <w:pPr>
        <w:spacing w:after="200" w:line="276" w:lineRule="auto"/>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This template also asks for existing fixed cost and revenue requirement projections, if applicable to the reporting entity.</w:t>
      </w:r>
    </w:p>
    <w:p w:rsidR="00AF0282" w:rsidRPr="00D6564C" w:rsidRDefault="00AF0282" w:rsidP="00AF0282">
      <w:pPr>
        <w:spacing w:after="200" w:line="276" w:lineRule="auto"/>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Save the file in the format of “Data_LSEname_BaseRsrc_</w:t>
      </w:r>
      <w:r w:rsidR="00BF2A60">
        <w:rPr>
          <w:rFonts w:asciiTheme="minorHAnsi" w:eastAsiaTheme="minorHAnsi" w:hAnsiTheme="minorHAnsi" w:cstheme="minorBidi"/>
          <w:i/>
          <w:sz w:val="22"/>
          <w:szCs w:val="22"/>
        </w:rPr>
        <w:t>Identifier_</w:t>
      </w:r>
      <w:r w:rsidRPr="00D6564C">
        <w:rPr>
          <w:rFonts w:asciiTheme="minorHAnsi" w:eastAsiaTheme="minorHAnsi" w:hAnsiTheme="minorHAnsi" w:cstheme="minorBidi"/>
          <w:i/>
          <w:sz w:val="22"/>
          <w:szCs w:val="22"/>
        </w:rPr>
        <w:t>yyyymmdd.xlsx” where the field “</w:t>
      </w:r>
      <w:proofErr w:type="spellStart"/>
      <w:r w:rsidRPr="00D6564C">
        <w:rPr>
          <w:rFonts w:asciiTheme="minorHAnsi" w:eastAsiaTheme="minorHAnsi" w:hAnsiTheme="minorHAnsi" w:cstheme="minorBidi"/>
          <w:i/>
          <w:sz w:val="22"/>
          <w:szCs w:val="22"/>
        </w:rPr>
        <w:t>LSEname</w:t>
      </w:r>
      <w:proofErr w:type="spellEnd"/>
      <w:r w:rsidRPr="00D6564C">
        <w:rPr>
          <w:rFonts w:asciiTheme="minorHAnsi" w:eastAsiaTheme="minorHAnsi" w:hAnsiTheme="minorHAnsi" w:cstheme="minorBidi"/>
          <w:i/>
          <w:sz w:val="22"/>
          <w:szCs w:val="22"/>
        </w:rPr>
        <w:t>” is replaced with the LSE name (</w:t>
      </w:r>
      <w:r w:rsidR="00D55E27">
        <w:rPr>
          <w:rFonts w:asciiTheme="minorHAnsi" w:eastAsiaTheme="minorHAnsi" w:hAnsiTheme="minorHAnsi" w:cstheme="minorBidi"/>
          <w:i/>
          <w:sz w:val="22"/>
          <w:szCs w:val="22"/>
        </w:rPr>
        <w:t>only letters allowed, no spaces or other characters</w:t>
      </w:r>
      <w:r w:rsidRPr="00D6564C">
        <w:rPr>
          <w:rFonts w:asciiTheme="minorHAnsi" w:eastAsiaTheme="minorHAnsi" w:hAnsiTheme="minorHAnsi" w:cstheme="minorBidi"/>
          <w:i/>
          <w:sz w:val="22"/>
          <w:szCs w:val="22"/>
        </w:rPr>
        <w:t>)</w:t>
      </w:r>
      <w:r w:rsidR="00BF2A60">
        <w:rPr>
          <w:rFonts w:asciiTheme="minorHAnsi" w:eastAsiaTheme="minorHAnsi" w:hAnsiTheme="minorHAnsi" w:cstheme="minorBidi"/>
          <w:i/>
          <w:sz w:val="22"/>
          <w:szCs w:val="22"/>
        </w:rPr>
        <w:t>,</w:t>
      </w:r>
      <w:r w:rsidR="00BF2A60" w:rsidRPr="00BF2A60">
        <w:rPr>
          <w:rFonts w:asciiTheme="minorHAnsi" w:eastAsiaTheme="minorHAnsi" w:hAnsiTheme="minorHAnsi" w:cstheme="minorBidi"/>
          <w:i/>
          <w:sz w:val="22"/>
          <w:szCs w:val="22"/>
        </w:rPr>
        <w:t xml:space="preserve"> </w:t>
      </w:r>
      <w:r w:rsidR="00BF2A60" w:rsidRPr="00D6564C">
        <w:rPr>
          <w:rFonts w:asciiTheme="minorHAnsi" w:eastAsiaTheme="minorHAnsi" w:hAnsiTheme="minorHAnsi" w:cstheme="minorBidi"/>
          <w:i/>
          <w:sz w:val="22"/>
          <w:szCs w:val="22"/>
        </w:rPr>
        <w:t>the field “Identifier” is replaced with Conforming, Alternat</w:t>
      </w:r>
      <w:r w:rsidR="00D55E27">
        <w:rPr>
          <w:rFonts w:asciiTheme="minorHAnsi" w:eastAsiaTheme="minorHAnsi" w:hAnsiTheme="minorHAnsi" w:cstheme="minorBidi"/>
          <w:i/>
          <w:sz w:val="22"/>
          <w:szCs w:val="22"/>
        </w:rPr>
        <w:t>ive</w:t>
      </w:r>
      <w:r w:rsidR="00BF2A60" w:rsidRPr="00D6564C">
        <w:rPr>
          <w:rFonts w:asciiTheme="minorHAnsi" w:eastAsiaTheme="minorHAnsi" w:hAnsiTheme="minorHAnsi" w:cstheme="minorBidi"/>
          <w:i/>
          <w:sz w:val="22"/>
          <w:szCs w:val="22"/>
        </w:rPr>
        <w:t>1, Alternat</w:t>
      </w:r>
      <w:r w:rsidR="00D55E27">
        <w:rPr>
          <w:rFonts w:asciiTheme="minorHAnsi" w:eastAsiaTheme="minorHAnsi" w:hAnsiTheme="minorHAnsi" w:cstheme="minorBidi"/>
          <w:i/>
          <w:sz w:val="22"/>
          <w:szCs w:val="22"/>
        </w:rPr>
        <w:t>ive</w:t>
      </w:r>
      <w:r w:rsidR="00BF2A60" w:rsidRPr="00D6564C">
        <w:rPr>
          <w:rFonts w:asciiTheme="minorHAnsi" w:eastAsiaTheme="minorHAnsi" w:hAnsiTheme="minorHAnsi" w:cstheme="minorBidi"/>
          <w:i/>
          <w:sz w:val="22"/>
          <w:szCs w:val="22"/>
        </w:rPr>
        <w:t>2, etc</w:t>
      </w:r>
      <w:r w:rsidR="00D55E27">
        <w:rPr>
          <w:rFonts w:asciiTheme="minorHAnsi" w:eastAsiaTheme="minorHAnsi" w:hAnsiTheme="minorHAnsi" w:cstheme="minorBidi"/>
          <w:i/>
          <w:sz w:val="22"/>
          <w:szCs w:val="22"/>
        </w:rPr>
        <w:t>.</w:t>
      </w:r>
      <w:proofErr w:type="gramStart"/>
      <w:r w:rsidR="00BF2A60" w:rsidRPr="00D6564C">
        <w:rPr>
          <w:rFonts w:asciiTheme="minorHAnsi" w:eastAsiaTheme="minorHAnsi" w:hAnsiTheme="minorHAnsi" w:cstheme="minorBidi"/>
          <w:i/>
          <w:sz w:val="22"/>
          <w:szCs w:val="22"/>
        </w:rPr>
        <w:t xml:space="preserve">, </w:t>
      </w:r>
      <w:r w:rsidRPr="00D6564C">
        <w:rPr>
          <w:rFonts w:asciiTheme="minorHAnsi" w:eastAsiaTheme="minorHAnsi" w:hAnsiTheme="minorHAnsi" w:cstheme="minorBidi"/>
          <w:i/>
          <w:sz w:val="22"/>
          <w:szCs w:val="22"/>
        </w:rPr>
        <w:t xml:space="preserve"> and</w:t>
      </w:r>
      <w:proofErr w:type="gramEnd"/>
      <w:r w:rsidRPr="00D6564C">
        <w:rPr>
          <w:rFonts w:asciiTheme="minorHAnsi" w:eastAsiaTheme="minorHAnsi" w:hAnsiTheme="minorHAnsi" w:cstheme="minorBidi"/>
          <w:i/>
          <w:sz w:val="22"/>
          <w:szCs w:val="22"/>
        </w:rPr>
        <w:t xml:space="preserve"> “</w:t>
      </w:r>
      <w:proofErr w:type="spellStart"/>
      <w:r w:rsidRPr="00D6564C">
        <w:rPr>
          <w:rFonts w:asciiTheme="minorHAnsi" w:eastAsiaTheme="minorHAnsi" w:hAnsiTheme="minorHAnsi" w:cstheme="minorBidi"/>
          <w:i/>
          <w:sz w:val="22"/>
          <w:szCs w:val="22"/>
        </w:rPr>
        <w:t>yyyymmdd</w:t>
      </w:r>
      <w:proofErr w:type="spellEnd"/>
      <w:r w:rsidRPr="00D6564C">
        <w:rPr>
          <w:rFonts w:asciiTheme="minorHAnsi" w:eastAsiaTheme="minorHAnsi" w:hAnsiTheme="minorHAnsi" w:cstheme="minorBidi"/>
          <w:i/>
          <w:sz w:val="22"/>
          <w:szCs w:val="22"/>
        </w:rPr>
        <w:t>” is replaced with the date the file is submitted to the Commission.  Spaces are not allowed in the file name.  Special characters are not allowed, except for underscore (“_”) and dash (“-”).</w:t>
      </w:r>
    </w:p>
    <w:p w:rsidR="00AF0282" w:rsidRPr="00D6564C" w:rsidRDefault="00AF0282" w:rsidP="00AF0282">
      <w:pPr>
        <w:keepNext/>
        <w:keepLines/>
        <w:numPr>
          <w:ilvl w:val="1"/>
          <w:numId w:val="1"/>
        </w:numPr>
        <w:spacing w:before="480" w:after="240" w:line="276" w:lineRule="auto"/>
        <w:ind w:left="864" w:hanging="504"/>
        <w:outlineLvl w:val="1"/>
        <w:rPr>
          <w:rFonts w:asciiTheme="majorHAnsi" w:eastAsiaTheme="majorEastAsia" w:hAnsiTheme="majorHAnsi" w:cstheme="majorBidi"/>
          <w:b/>
          <w:bCs/>
          <w:sz w:val="24"/>
          <w:szCs w:val="28"/>
        </w:rPr>
      </w:pPr>
      <w:bookmarkStart w:id="51" w:name="_Toc501375938"/>
      <w:r w:rsidRPr="00D6564C">
        <w:rPr>
          <w:rFonts w:asciiTheme="majorHAnsi" w:eastAsiaTheme="majorEastAsia" w:hAnsiTheme="majorHAnsi" w:cstheme="majorBidi"/>
          <w:b/>
          <w:bCs/>
          <w:sz w:val="24"/>
          <w:szCs w:val="28"/>
        </w:rPr>
        <w:t>New Resource Data Template</w:t>
      </w:r>
      <w:bookmarkEnd w:id="51"/>
    </w:p>
    <w:p w:rsidR="00AF0282" w:rsidRPr="00D6564C" w:rsidRDefault="00AF0282" w:rsidP="00AF0282">
      <w:pPr>
        <w:spacing w:after="200" w:line="276" w:lineRule="auto"/>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For EACH portfolio considered by the LSE (e.g. Conforming, Alternat</w:t>
      </w:r>
      <w:r w:rsidR="00C92D47">
        <w:rPr>
          <w:rFonts w:asciiTheme="minorHAnsi" w:eastAsiaTheme="minorHAnsi" w:hAnsiTheme="minorHAnsi" w:cstheme="minorBidi"/>
          <w:i/>
          <w:sz w:val="22"/>
          <w:szCs w:val="22"/>
        </w:rPr>
        <w:t>ive</w:t>
      </w:r>
      <w:r w:rsidRPr="00D6564C">
        <w:rPr>
          <w:rFonts w:asciiTheme="minorHAnsi" w:eastAsiaTheme="minorHAnsi" w:hAnsiTheme="minorHAnsi" w:cstheme="minorBidi"/>
          <w:i/>
          <w:sz w:val="22"/>
          <w:szCs w:val="22"/>
        </w:rPr>
        <w:t>1, Alternat</w:t>
      </w:r>
      <w:r w:rsidR="00C92D47">
        <w:rPr>
          <w:rFonts w:asciiTheme="minorHAnsi" w:eastAsiaTheme="minorHAnsi" w:hAnsiTheme="minorHAnsi" w:cstheme="minorBidi"/>
          <w:i/>
          <w:sz w:val="22"/>
          <w:szCs w:val="22"/>
        </w:rPr>
        <w:t>ive</w:t>
      </w:r>
      <w:r w:rsidRPr="00D6564C">
        <w:rPr>
          <w:rFonts w:asciiTheme="minorHAnsi" w:eastAsiaTheme="minorHAnsi" w:hAnsiTheme="minorHAnsi" w:cstheme="minorBidi"/>
          <w:i/>
          <w:sz w:val="22"/>
          <w:szCs w:val="22"/>
        </w:rPr>
        <w:t>2) follow the instructions within the template to report new resources, including the projected total fixed costs of these new resources, that the LSE plans to invest in to serve its load over the IRP planning horizon. The fixed cost reporting includes any new transmission triggered by the new resources and the LSE’s share of those costs.  IOUs shall also include a projection of the incremental revenue requirement (i.e., incremental to what is reported in the Baseline Resource Data Template). New resources are analogous to “candidate” resources as defined in the RESOLVE model.  To the extent possible, each resource should be mapped to a RESOLVE candidate resource type.  If the LSE’s selected new resource does not match with any pre-defined RESOLVE candidate resource type, it may select “</w:t>
      </w:r>
      <w:proofErr w:type="spellStart"/>
      <w:r w:rsidRPr="00D6564C">
        <w:rPr>
          <w:rFonts w:asciiTheme="minorHAnsi" w:eastAsiaTheme="minorHAnsi" w:hAnsiTheme="minorHAnsi" w:cstheme="minorBidi"/>
          <w:i/>
          <w:sz w:val="22"/>
          <w:szCs w:val="22"/>
        </w:rPr>
        <w:t>Other_New</w:t>
      </w:r>
      <w:proofErr w:type="spellEnd"/>
      <w:r w:rsidRPr="00D6564C">
        <w:rPr>
          <w:rFonts w:asciiTheme="minorHAnsi" w:eastAsiaTheme="minorHAnsi" w:hAnsiTheme="minorHAnsi" w:cstheme="minorBidi"/>
          <w:i/>
          <w:sz w:val="22"/>
          <w:szCs w:val="22"/>
        </w:rPr>
        <w:t>” and provide a description.</w:t>
      </w:r>
    </w:p>
    <w:p w:rsidR="00AF0282" w:rsidRPr="00D6564C" w:rsidRDefault="00AF0282" w:rsidP="00AF0282">
      <w:pPr>
        <w:spacing w:after="200" w:line="276" w:lineRule="auto"/>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Note that the Conforming Portfolio will be based on the load assignments and the 2017 IEPR demand forecast as specified earlier in this template</w:t>
      </w:r>
      <w:r w:rsidR="00D55E27">
        <w:rPr>
          <w:rFonts w:asciiTheme="minorHAnsi" w:eastAsiaTheme="minorHAnsi" w:hAnsiTheme="minorHAnsi" w:cstheme="minorBidi"/>
          <w:i/>
          <w:sz w:val="22"/>
          <w:szCs w:val="22"/>
        </w:rPr>
        <w:t xml:space="preserve"> (unless superseded by ALJ ruling)</w:t>
      </w:r>
      <w:r w:rsidRPr="00D6564C">
        <w:rPr>
          <w:rFonts w:asciiTheme="minorHAnsi" w:eastAsiaTheme="minorHAnsi" w:hAnsiTheme="minorHAnsi" w:cstheme="minorBidi"/>
          <w:i/>
          <w:sz w:val="22"/>
          <w:szCs w:val="22"/>
        </w:rPr>
        <w:t>. If an LSE proposes no changes to this load and load modifier assumption as part of its LSE Plan, then no load information must be reported. If LSEs use different load and load modifier assumptions as part of any Alternat</w:t>
      </w:r>
      <w:r w:rsidR="00C92D47">
        <w:rPr>
          <w:rFonts w:asciiTheme="minorHAnsi" w:eastAsiaTheme="minorHAnsi" w:hAnsiTheme="minorHAnsi" w:cstheme="minorBidi"/>
          <w:i/>
          <w:sz w:val="22"/>
          <w:szCs w:val="22"/>
        </w:rPr>
        <w:t>ive</w:t>
      </w:r>
      <w:r w:rsidRPr="00D6564C">
        <w:rPr>
          <w:rFonts w:asciiTheme="minorHAnsi" w:eastAsiaTheme="minorHAnsi" w:hAnsiTheme="minorHAnsi" w:cstheme="minorBidi"/>
          <w:i/>
          <w:sz w:val="22"/>
          <w:szCs w:val="22"/>
        </w:rPr>
        <w:t xml:space="preserve"> Portfolios, the LSE should report that information using the standard IEPR filing form templates associated with that information, included as tabs within the New Resource Data Template. The LSE should clearly identify the data that differs from the forms it submitted to the CEC in 2017 as part of the 2017 IEPR process. The table below indicates which standard IEPR filing forms apply to which entity.</w:t>
      </w:r>
    </w:p>
    <w:tbl>
      <w:tblPr>
        <w:tblW w:w="9206" w:type="dxa"/>
        <w:jc w:val="center"/>
        <w:tblLook w:val="04A0" w:firstRow="1" w:lastRow="0" w:firstColumn="1" w:lastColumn="0" w:noHBand="0" w:noVBand="1"/>
      </w:tblPr>
      <w:tblGrid>
        <w:gridCol w:w="1284"/>
        <w:gridCol w:w="4826"/>
        <w:gridCol w:w="1035"/>
        <w:gridCol w:w="1048"/>
        <w:gridCol w:w="1013"/>
      </w:tblGrid>
      <w:tr w:rsidR="00AF0282" w:rsidRPr="00D6564C" w:rsidTr="00762A52">
        <w:trPr>
          <w:trHeight w:val="300"/>
          <w:jc w:val="center"/>
        </w:trPr>
        <w:tc>
          <w:tcPr>
            <w:tcW w:w="1284" w:type="dxa"/>
            <w:tcBorders>
              <w:top w:val="nil"/>
              <w:left w:val="nil"/>
              <w:bottom w:val="nil"/>
              <w:right w:val="nil"/>
            </w:tcBorders>
            <w:shd w:val="clear" w:color="auto" w:fill="auto"/>
            <w:noWrap/>
            <w:vAlign w:val="center"/>
            <w:hideMark/>
          </w:tcPr>
          <w:p w:rsidR="00AF0282" w:rsidRPr="00D6564C" w:rsidRDefault="00AF0282" w:rsidP="00916BEF">
            <w:pPr>
              <w:keepNext/>
              <w:ind w:left="360"/>
              <w:rPr>
                <w:rFonts w:asciiTheme="minorHAnsi" w:eastAsiaTheme="minorHAnsi" w:hAnsiTheme="minorHAnsi" w:cstheme="minorBidi"/>
                <w:b/>
                <w:i/>
                <w:sz w:val="22"/>
                <w:szCs w:val="22"/>
              </w:rPr>
            </w:pPr>
            <w:r w:rsidRPr="00D6564C">
              <w:rPr>
                <w:rFonts w:asciiTheme="minorHAnsi" w:eastAsiaTheme="minorHAnsi" w:hAnsiTheme="minorHAnsi" w:cstheme="minorBidi"/>
                <w:b/>
                <w:i/>
                <w:sz w:val="22"/>
                <w:szCs w:val="22"/>
              </w:rPr>
              <w:lastRenderedPageBreak/>
              <w:t>Form #</w:t>
            </w:r>
          </w:p>
        </w:tc>
        <w:tc>
          <w:tcPr>
            <w:tcW w:w="4826" w:type="dxa"/>
            <w:tcBorders>
              <w:top w:val="nil"/>
              <w:left w:val="nil"/>
              <w:bottom w:val="nil"/>
              <w:right w:val="nil"/>
            </w:tcBorders>
            <w:shd w:val="clear" w:color="auto" w:fill="auto"/>
            <w:noWrap/>
            <w:vAlign w:val="center"/>
            <w:hideMark/>
          </w:tcPr>
          <w:p w:rsidR="00AF0282" w:rsidRPr="00D6564C" w:rsidRDefault="00AF0282" w:rsidP="00916BEF">
            <w:pPr>
              <w:keepNext/>
              <w:ind w:left="360"/>
              <w:rPr>
                <w:rFonts w:asciiTheme="minorHAnsi" w:eastAsiaTheme="minorHAnsi" w:hAnsiTheme="minorHAnsi" w:cstheme="minorBidi"/>
                <w:b/>
                <w:i/>
                <w:sz w:val="22"/>
                <w:szCs w:val="22"/>
              </w:rPr>
            </w:pPr>
            <w:r w:rsidRPr="00D6564C">
              <w:rPr>
                <w:rFonts w:asciiTheme="minorHAnsi" w:eastAsiaTheme="minorHAnsi" w:hAnsiTheme="minorHAnsi" w:cstheme="minorBidi"/>
                <w:b/>
                <w:i/>
                <w:sz w:val="22"/>
                <w:szCs w:val="22"/>
              </w:rPr>
              <w:t>Form Description</w:t>
            </w:r>
          </w:p>
        </w:tc>
        <w:tc>
          <w:tcPr>
            <w:tcW w:w="1035" w:type="dxa"/>
            <w:tcBorders>
              <w:top w:val="nil"/>
              <w:left w:val="nil"/>
              <w:bottom w:val="nil"/>
              <w:right w:val="nil"/>
            </w:tcBorders>
            <w:shd w:val="clear" w:color="auto" w:fill="auto"/>
            <w:vAlign w:val="center"/>
            <w:hideMark/>
          </w:tcPr>
          <w:p w:rsidR="00AF0282" w:rsidRPr="00D6564C" w:rsidRDefault="00AF0282" w:rsidP="00916BEF">
            <w:pPr>
              <w:keepNext/>
              <w:spacing w:after="200"/>
              <w:ind w:left="360"/>
              <w:rPr>
                <w:rFonts w:asciiTheme="minorHAnsi" w:eastAsiaTheme="minorHAnsi" w:hAnsiTheme="minorHAnsi" w:cstheme="minorBidi"/>
                <w:b/>
                <w:bCs/>
                <w:i/>
                <w:sz w:val="22"/>
                <w:szCs w:val="22"/>
              </w:rPr>
            </w:pPr>
            <w:r w:rsidRPr="00D6564C">
              <w:rPr>
                <w:rFonts w:asciiTheme="minorHAnsi" w:eastAsiaTheme="minorHAnsi" w:hAnsiTheme="minorHAnsi" w:cstheme="minorBidi"/>
                <w:b/>
                <w:bCs/>
                <w:i/>
                <w:sz w:val="22"/>
                <w:szCs w:val="22"/>
              </w:rPr>
              <w:t>IOU</w:t>
            </w:r>
          </w:p>
        </w:tc>
        <w:tc>
          <w:tcPr>
            <w:tcW w:w="1048" w:type="dxa"/>
            <w:tcBorders>
              <w:top w:val="nil"/>
              <w:left w:val="nil"/>
              <w:bottom w:val="nil"/>
              <w:right w:val="nil"/>
            </w:tcBorders>
            <w:shd w:val="clear" w:color="auto" w:fill="auto"/>
            <w:vAlign w:val="center"/>
            <w:hideMark/>
          </w:tcPr>
          <w:p w:rsidR="00AF0282" w:rsidRPr="00D6564C" w:rsidRDefault="00AF0282" w:rsidP="00916BEF">
            <w:pPr>
              <w:keepNext/>
              <w:spacing w:after="200"/>
              <w:ind w:left="360"/>
              <w:rPr>
                <w:rFonts w:asciiTheme="minorHAnsi" w:eastAsiaTheme="minorHAnsi" w:hAnsiTheme="minorHAnsi" w:cstheme="minorBidi"/>
                <w:b/>
                <w:bCs/>
                <w:i/>
                <w:sz w:val="22"/>
                <w:szCs w:val="22"/>
              </w:rPr>
            </w:pPr>
            <w:r w:rsidRPr="00D6564C">
              <w:rPr>
                <w:rFonts w:asciiTheme="minorHAnsi" w:eastAsiaTheme="minorHAnsi" w:hAnsiTheme="minorHAnsi" w:cstheme="minorBidi"/>
                <w:b/>
                <w:bCs/>
                <w:i/>
                <w:sz w:val="22"/>
                <w:szCs w:val="22"/>
              </w:rPr>
              <w:t>CCA</w:t>
            </w:r>
          </w:p>
        </w:tc>
        <w:tc>
          <w:tcPr>
            <w:tcW w:w="1013" w:type="dxa"/>
            <w:tcBorders>
              <w:top w:val="nil"/>
              <w:left w:val="nil"/>
              <w:bottom w:val="nil"/>
              <w:right w:val="nil"/>
            </w:tcBorders>
            <w:shd w:val="clear" w:color="auto" w:fill="auto"/>
            <w:vAlign w:val="center"/>
            <w:hideMark/>
          </w:tcPr>
          <w:p w:rsidR="00AF0282" w:rsidRPr="00D6564C" w:rsidRDefault="00AF0282" w:rsidP="00916BEF">
            <w:pPr>
              <w:keepNext/>
              <w:spacing w:after="200"/>
              <w:ind w:left="360"/>
              <w:rPr>
                <w:rFonts w:asciiTheme="minorHAnsi" w:eastAsiaTheme="minorHAnsi" w:hAnsiTheme="minorHAnsi" w:cstheme="minorBidi"/>
                <w:b/>
                <w:bCs/>
                <w:i/>
                <w:sz w:val="22"/>
                <w:szCs w:val="22"/>
              </w:rPr>
            </w:pPr>
            <w:r w:rsidRPr="00D6564C">
              <w:rPr>
                <w:rFonts w:asciiTheme="minorHAnsi" w:eastAsiaTheme="minorHAnsi" w:hAnsiTheme="minorHAnsi" w:cstheme="minorBidi"/>
                <w:b/>
                <w:bCs/>
                <w:i/>
                <w:sz w:val="22"/>
                <w:szCs w:val="22"/>
              </w:rPr>
              <w:t>ESP</w:t>
            </w:r>
          </w:p>
        </w:tc>
      </w:tr>
      <w:tr w:rsidR="00AF0282" w:rsidRPr="00D6564C" w:rsidTr="00762A52">
        <w:trPr>
          <w:jc w:val="center"/>
        </w:trPr>
        <w:tc>
          <w:tcPr>
            <w:tcW w:w="1284"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AF0282" w:rsidRPr="00D6564C" w:rsidRDefault="00AF0282" w:rsidP="00916BEF">
            <w:pPr>
              <w:keepNext/>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Form 1.1a</w:t>
            </w:r>
          </w:p>
        </w:tc>
        <w:tc>
          <w:tcPr>
            <w:tcW w:w="4826" w:type="dxa"/>
            <w:tcBorders>
              <w:top w:val="single" w:sz="4" w:space="0" w:color="0070C0"/>
              <w:left w:val="nil"/>
              <w:bottom w:val="single" w:sz="4" w:space="0" w:color="0070C0"/>
              <w:right w:val="single" w:sz="4" w:space="0" w:color="0070C0"/>
            </w:tcBorders>
            <w:shd w:val="clear" w:color="auto" w:fill="auto"/>
            <w:vAlign w:val="center"/>
            <w:hideMark/>
          </w:tcPr>
          <w:p w:rsidR="00AF0282" w:rsidRPr="00D6564C" w:rsidRDefault="00AF0282" w:rsidP="00916BEF">
            <w:pPr>
              <w:keepNext/>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RETAIL SALES OF ELECTRICITY BY CLASS OR SECTOR (GWh) Bundled &amp; Direct Access</w:t>
            </w:r>
          </w:p>
        </w:tc>
        <w:tc>
          <w:tcPr>
            <w:tcW w:w="1035" w:type="dxa"/>
            <w:tcBorders>
              <w:top w:val="single" w:sz="4" w:space="0" w:color="0070C0"/>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X</w:t>
            </w:r>
          </w:p>
        </w:tc>
        <w:tc>
          <w:tcPr>
            <w:tcW w:w="1048" w:type="dxa"/>
            <w:tcBorders>
              <w:top w:val="single" w:sz="4" w:space="0" w:color="0070C0"/>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w:t>
            </w:r>
          </w:p>
        </w:tc>
        <w:tc>
          <w:tcPr>
            <w:tcW w:w="1013" w:type="dxa"/>
            <w:tcBorders>
              <w:top w:val="single" w:sz="4" w:space="0" w:color="0070C0"/>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w:t>
            </w:r>
          </w:p>
        </w:tc>
      </w:tr>
      <w:tr w:rsidR="00AF0282" w:rsidRPr="00D6564C" w:rsidTr="00762A52">
        <w:trPr>
          <w:jc w:val="center"/>
        </w:trPr>
        <w:tc>
          <w:tcPr>
            <w:tcW w:w="1284" w:type="dxa"/>
            <w:tcBorders>
              <w:top w:val="nil"/>
              <w:left w:val="single" w:sz="4" w:space="0" w:color="0070C0"/>
              <w:bottom w:val="single" w:sz="4" w:space="0" w:color="0070C0"/>
              <w:right w:val="single" w:sz="4" w:space="0" w:color="0070C0"/>
            </w:tcBorders>
            <w:shd w:val="clear" w:color="auto" w:fill="auto"/>
            <w:noWrap/>
            <w:vAlign w:val="center"/>
            <w:hideMark/>
          </w:tcPr>
          <w:p w:rsidR="00AF0282" w:rsidRPr="00D6564C" w:rsidRDefault="00AF0282" w:rsidP="00916BEF">
            <w:pPr>
              <w:keepNext/>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Form 1.1b</w:t>
            </w:r>
          </w:p>
        </w:tc>
        <w:tc>
          <w:tcPr>
            <w:tcW w:w="4826" w:type="dxa"/>
            <w:tcBorders>
              <w:top w:val="nil"/>
              <w:left w:val="nil"/>
              <w:bottom w:val="single" w:sz="4" w:space="0" w:color="0070C0"/>
              <w:right w:val="single" w:sz="4" w:space="0" w:color="0070C0"/>
            </w:tcBorders>
            <w:shd w:val="clear" w:color="auto" w:fill="auto"/>
            <w:vAlign w:val="center"/>
            <w:hideMark/>
          </w:tcPr>
          <w:p w:rsidR="00AF0282" w:rsidRPr="00D6564C" w:rsidRDefault="00AF0282" w:rsidP="00916BEF">
            <w:pPr>
              <w:keepNext/>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RETAIL SALES OF ELECTRICITY BY CLASS OR SECTOR (GWh) Bundled Customers</w:t>
            </w:r>
          </w:p>
        </w:tc>
        <w:tc>
          <w:tcPr>
            <w:tcW w:w="1035" w:type="dxa"/>
            <w:tcBorders>
              <w:top w:val="nil"/>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X</w:t>
            </w:r>
          </w:p>
        </w:tc>
        <w:tc>
          <w:tcPr>
            <w:tcW w:w="1048" w:type="dxa"/>
            <w:tcBorders>
              <w:top w:val="nil"/>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w:t>
            </w:r>
          </w:p>
        </w:tc>
        <w:tc>
          <w:tcPr>
            <w:tcW w:w="1013" w:type="dxa"/>
            <w:tcBorders>
              <w:top w:val="nil"/>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w:t>
            </w:r>
          </w:p>
        </w:tc>
      </w:tr>
      <w:tr w:rsidR="00AF0282" w:rsidRPr="00D6564C" w:rsidTr="00762A52">
        <w:trPr>
          <w:trHeight w:val="629"/>
          <w:jc w:val="center"/>
        </w:trPr>
        <w:tc>
          <w:tcPr>
            <w:tcW w:w="1284" w:type="dxa"/>
            <w:tcBorders>
              <w:top w:val="nil"/>
              <w:left w:val="single" w:sz="4" w:space="0" w:color="0070C0"/>
              <w:bottom w:val="single" w:sz="4" w:space="0" w:color="0070C0"/>
              <w:right w:val="single" w:sz="4" w:space="0" w:color="0070C0"/>
            </w:tcBorders>
            <w:shd w:val="clear" w:color="auto" w:fill="auto"/>
            <w:noWrap/>
            <w:vAlign w:val="center"/>
            <w:hideMark/>
          </w:tcPr>
          <w:p w:rsidR="00AF0282" w:rsidRPr="00D6564C" w:rsidRDefault="00AF0282" w:rsidP="00916BEF">
            <w:pPr>
              <w:keepNext/>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Form 1.2</w:t>
            </w:r>
          </w:p>
        </w:tc>
        <w:tc>
          <w:tcPr>
            <w:tcW w:w="4826" w:type="dxa"/>
            <w:tcBorders>
              <w:top w:val="nil"/>
              <w:left w:val="nil"/>
              <w:bottom w:val="single" w:sz="4" w:space="0" w:color="0070C0"/>
              <w:right w:val="single" w:sz="4" w:space="0" w:color="0070C0"/>
            </w:tcBorders>
            <w:shd w:val="clear" w:color="auto" w:fill="auto"/>
            <w:vAlign w:val="center"/>
            <w:hideMark/>
          </w:tcPr>
          <w:p w:rsidR="00AF0282" w:rsidRPr="00D6564C" w:rsidRDefault="00AF0282" w:rsidP="00916BEF">
            <w:pPr>
              <w:keepNext/>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DISTRIBUTION AREA NET ELECTRICITY FOR GENERATION LOAD (GWh)</w:t>
            </w:r>
          </w:p>
        </w:tc>
        <w:tc>
          <w:tcPr>
            <w:tcW w:w="1035" w:type="dxa"/>
            <w:tcBorders>
              <w:top w:val="nil"/>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X</w:t>
            </w:r>
          </w:p>
        </w:tc>
        <w:tc>
          <w:tcPr>
            <w:tcW w:w="1048" w:type="dxa"/>
            <w:tcBorders>
              <w:top w:val="nil"/>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w:t>
            </w:r>
          </w:p>
        </w:tc>
        <w:tc>
          <w:tcPr>
            <w:tcW w:w="1013" w:type="dxa"/>
            <w:tcBorders>
              <w:top w:val="nil"/>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w:t>
            </w:r>
          </w:p>
        </w:tc>
      </w:tr>
      <w:tr w:rsidR="00AF0282" w:rsidRPr="00D6564C" w:rsidTr="00762A52">
        <w:trPr>
          <w:jc w:val="center"/>
        </w:trPr>
        <w:tc>
          <w:tcPr>
            <w:tcW w:w="1284" w:type="dxa"/>
            <w:tcBorders>
              <w:top w:val="nil"/>
              <w:left w:val="single" w:sz="4" w:space="0" w:color="0070C0"/>
              <w:bottom w:val="single" w:sz="4" w:space="0" w:color="0070C0"/>
              <w:right w:val="single" w:sz="4" w:space="0" w:color="0070C0"/>
            </w:tcBorders>
            <w:shd w:val="clear" w:color="auto" w:fill="auto"/>
            <w:noWrap/>
            <w:vAlign w:val="center"/>
            <w:hideMark/>
          </w:tcPr>
          <w:p w:rsidR="00AF0282" w:rsidRPr="00D6564C" w:rsidRDefault="00AF0282" w:rsidP="00916BEF">
            <w:pPr>
              <w:keepNext/>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Form 1.3</w:t>
            </w:r>
          </w:p>
        </w:tc>
        <w:tc>
          <w:tcPr>
            <w:tcW w:w="4826" w:type="dxa"/>
            <w:tcBorders>
              <w:top w:val="nil"/>
              <w:left w:val="nil"/>
              <w:bottom w:val="single" w:sz="4" w:space="0" w:color="0070C0"/>
              <w:right w:val="single" w:sz="4" w:space="0" w:color="0070C0"/>
            </w:tcBorders>
            <w:shd w:val="clear" w:color="auto" w:fill="auto"/>
            <w:vAlign w:val="center"/>
            <w:hideMark/>
          </w:tcPr>
          <w:p w:rsidR="00AF0282" w:rsidRPr="00D6564C" w:rsidRDefault="00AF0282" w:rsidP="00916BEF">
            <w:pPr>
              <w:keepNext/>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LSE COINCIDENT PEAK DEMAND BY SECTOR (Bundled Customers)</w:t>
            </w:r>
          </w:p>
        </w:tc>
        <w:tc>
          <w:tcPr>
            <w:tcW w:w="1035" w:type="dxa"/>
            <w:tcBorders>
              <w:top w:val="nil"/>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X</w:t>
            </w:r>
          </w:p>
        </w:tc>
        <w:tc>
          <w:tcPr>
            <w:tcW w:w="1048" w:type="dxa"/>
            <w:tcBorders>
              <w:top w:val="nil"/>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w:t>
            </w:r>
          </w:p>
        </w:tc>
        <w:tc>
          <w:tcPr>
            <w:tcW w:w="1013" w:type="dxa"/>
            <w:tcBorders>
              <w:top w:val="nil"/>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w:t>
            </w:r>
          </w:p>
        </w:tc>
      </w:tr>
      <w:tr w:rsidR="00AF0282" w:rsidRPr="00D6564C" w:rsidTr="00762A52">
        <w:trPr>
          <w:jc w:val="center"/>
        </w:trPr>
        <w:tc>
          <w:tcPr>
            <w:tcW w:w="1284" w:type="dxa"/>
            <w:tcBorders>
              <w:top w:val="nil"/>
              <w:left w:val="single" w:sz="4" w:space="0" w:color="0070C0"/>
              <w:bottom w:val="single" w:sz="4" w:space="0" w:color="0070C0"/>
              <w:right w:val="single" w:sz="4" w:space="0" w:color="0070C0"/>
            </w:tcBorders>
            <w:shd w:val="clear" w:color="auto" w:fill="auto"/>
            <w:noWrap/>
            <w:vAlign w:val="center"/>
            <w:hideMark/>
          </w:tcPr>
          <w:p w:rsidR="00AF0282" w:rsidRPr="00D6564C" w:rsidRDefault="00AF0282" w:rsidP="00916BEF">
            <w:pPr>
              <w:keepNext/>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Form 1.4</w:t>
            </w:r>
          </w:p>
        </w:tc>
        <w:tc>
          <w:tcPr>
            <w:tcW w:w="4826" w:type="dxa"/>
            <w:tcBorders>
              <w:top w:val="nil"/>
              <w:left w:val="nil"/>
              <w:bottom w:val="single" w:sz="4" w:space="0" w:color="0070C0"/>
              <w:right w:val="single" w:sz="4" w:space="0" w:color="0070C0"/>
            </w:tcBorders>
            <w:shd w:val="clear" w:color="auto" w:fill="auto"/>
            <w:vAlign w:val="center"/>
            <w:hideMark/>
          </w:tcPr>
          <w:p w:rsidR="00AF0282" w:rsidRPr="00D6564C" w:rsidRDefault="00AF0282" w:rsidP="00916BEF">
            <w:pPr>
              <w:keepNext/>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DISTRIBUTION AREA COINCIDENT PEAK DEMAND</w:t>
            </w:r>
          </w:p>
        </w:tc>
        <w:tc>
          <w:tcPr>
            <w:tcW w:w="1035" w:type="dxa"/>
            <w:tcBorders>
              <w:top w:val="nil"/>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X</w:t>
            </w:r>
          </w:p>
        </w:tc>
        <w:tc>
          <w:tcPr>
            <w:tcW w:w="1048" w:type="dxa"/>
            <w:tcBorders>
              <w:top w:val="nil"/>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w:t>
            </w:r>
          </w:p>
        </w:tc>
        <w:tc>
          <w:tcPr>
            <w:tcW w:w="1013" w:type="dxa"/>
            <w:tcBorders>
              <w:top w:val="nil"/>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w:t>
            </w:r>
          </w:p>
        </w:tc>
      </w:tr>
      <w:tr w:rsidR="00AF0282" w:rsidRPr="00D6564C" w:rsidTr="00762A52">
        <w:trPr>
          <w:jc w:val="center"/>
        </w:trPr>
        <w:tc>
          <w:tcPr>
            <w:tcW w:w="1284" w:type="dxa"/>
            <w:tcBorders>
              <w:top w:val="nil"/>
              <w:left w:val="single" w:sz="4" w:space="0" w:color="0070C0"/>
              <w:bottom w:val="single" w:sz="4" w:space="0" w:color="0070C0"/>
              <w:right w:val="single" w:sz="4" w:space="0" w:color="0070C0"/>
            </w:tcBorders>
            <w:shd w:val="clear" w:color="auto" w:fill="auto"/>
            <w:noWrap/>
            <w:vAlign w:val="center"/>
            <w:hideMark/>
          </w:tcPr>
          <w:p w:rsidR="00AF0282" w:rsidRPr="00D6564C" w:rsidRDefault="00AF0282" w:rsidP="00916BEF">
            <w:pPr>
              <w:keepNext/>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Form 3.2</w:t>
            </w:r>
          </w:p>
        </w:tc>
        <w:tc>
          <w:tcPr>
            <w:tcW w:w="4826" w:type="dxa"/>
            <w:tcBorders>
              <w:top w:val="nil"/>
              <w:left w:val="nil"/>
              <w:bottom w:val="single" w:sz="4" w:space="0" w:color="0070C0"/>
              <w:right w:val="single" w:sz="4" w:space="0" w:color="0070C0"/>
            </w:tcBorders>
            <w:shd w:val="clear" w:color="auto" w:fill="auto"/>
            <w:vAlign w:val="center"/>
            <w:hideMark/>
          </w:tcPr>
          <w:p w:rsidR="00AF0282" w:rsidRPr="00D6564C" w:rsidRDefault="00AF0282" w:rsidP="00916BEF">
            <w:pPr>
              <w:keepNext/>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ENERGY EFFICIENCY - CUMULATIVE INCREMENTAL IMPACTS</w:t>
            </w:r>
          </w:p>
        </w:tc>
        <w:tc>
          <w:tcPr>
            <w:tcW w:w="1035" w:type="dxa"/>
            <w:tcBorders>
              <w:top w:val="nil"/>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X</w:t>
            </w:r>
          </w:p>
        </w:tc>
        <w:tc>
          <w:tcPr>
            <w:tcW w:w="1048" w:type="dxa"/>
            <w:tcBorders>
              <w:top w:val="nil"/>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w:t>
            </w:r>
          </w:p>
        </w:tc>
        <w:tc>
          <w:tcPr>
            <w:tcW w:w="1013" w:type="dxa"/>
            <w:tcBorders>
              <w:top w:val="nil"/>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w:t>
            </w:r>
          </w:p>
        </w:tc>
      </w:tr>
      <w:tr w:rsidR="00AF0282" w:rsidRPr="00D6564C" w:rsidTr="00762A52">
        <w:trPr>
          <w:jc w:val="center"/>
        </w:trPr>
        <w:tc>
          <w:tcPr>
            <w:tcW w:w="1284" w:type="dxa"/>
            <w:tcBorders>
              <w:top w:val="nil"/>
              <w:left w:val="single" w:sz="4" w:space="0" w:color="0070C0"/>
              <w:bottom w:val="single" w:sz="4" w:space="0" w:color="0070C0"/>
              <w:right w:val="single" w:sz="4" w:space="0" w:color="0070C0"/>
            </w:tcBorders>
            <w:shd w:val="clear" w:color="auto" w:fill="auto"/>
            <w:noWrap/>
            <w:vAlign w:val="center"/>
            <w:hideMark/>
          </w:tcPr>
          <w:p w:rsidR="00AF0282" w:rsidRPr="00D6564C" w:rsidRDefault="00AF0282" w:rsidP="00916BEF">
            <w:pPr>
              <w:keepNext/>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Form 3.3</w:t>
            </w:r>
          </w:p>
        </w:tc>
        <w:tc>
          <w:tcPr>
            <w:tcW w:w="4826" w:type="dxa"/>
            <w:tcBorders>
              <w:top w:val="nil"/>
              <w:left w:val="nil"/>
              <w:bottom w:val="single" w:sz="4" w:space="0" w:color="0070C0"/>
              <w:right w:val="single" w:sz="4" w:space="0" w:color="0070C0"/>
            </w:tcBorders>
            <w:shd w:val="clear" w:color="auto" w:fill="auto"/>
            <w:vAlign w:val="center"/>
            <w:hideMark/>
          </w:tcPr>
          <w:p w:rsidR="00AF0282" w:rsidRPr="00D6564C" w:rsidRDefault="00AF0282" w:rsidP="00916BEF">
            <w:pPr>
              <w:keepNext/>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DISTRIBUTED GENERATION - CUMULATIVE INCREMENTAL IMPACTS</w:t>
            </w:r>
          </w:p>
        </w:tc>
        <w:tc>
          <w:tcPr>
            <w:tcW w:w="1035" w:type="dxa"/>
            <w:tcBorders>
              <w:top w:val="nil"/>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X</w:t>
            </w:r>
          </w:p>
        </w:tc>
        <w:tc>
          <w:tcPr>
            <w:tcW w:w="1048" w:type="dxa"/>
            <w:tcBorders>
              <w:top w:val="nil"/>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w:t>
            </w:r>
          </w:p>
        </w:tc>
        <w:tc>
          <w:tcPr>
            <w:tcW w:w="1013" w:type="dxa"/>
            <w:tcBorders>
              <w:top w:val="nil"/>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w:t>
            </w:r>
          </w:p>
        </w:tc>
      </w:tr>
      <w:tr w:rsidR="00AF0282" w:rsidRPr="00D6564C" w:rsidTr="00762A52">
        <w:trPr>
          <w:jc w:val="center"/>
        </w:trPr>
        <w:tc>
          <w:tcPr>
            <w:tcW w:w="1284" w:type="dxa"/>
            <w:tcBorders>
              <w:top w:val="nil"/>
              <w:left w:val="single" w:sz="4" w:space="0" w:color="0070C0"/>
              <w:bottom w:val="single" w:sz="4" w:space="0" w:color="0070C0"/>
              <w:right w:val="single" w:sz="4" w:space="0" w:color="0070C0"/>
            </w:tcBorders>
            <w:shd w:val="clear" w:color="auto" w:fill="auto"/>
            <w:noWrap/>
            <w:vAlign w:val="center"/>
            <w:hideMark/>
          </w:tcPr>
          <w:p w:rsidR="00AF0282" w:rsidRPr="00D6564C" w:rsidRDefault="00AF0282" w:rsidP="00916BEF">
            <w:pPr>
              <w:keepNext/>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Form 3.4</w:t>
            </w:r>
          </w:p>
        </w:tc>
        <w:tc>
          <w:tcPr>
            <w:tcW w:w="4826" w:type="dxa"/>
            <w:tcBorders>
              <w:top w:val="nil"/>
              <w:left w:val="nil"/>
              <w:bottom w:val="single" w:sz="4" w:space="0" w:color="0070C0"/>
              <w:right w:val="single" w:sz="4" w:space="0" w:color="0070C0"/>
            </w:tcBorders>
            <w:shd w:val="clear" w:color="auto" w:fill="auto"/>
            <w:vAlign w:val="center"/>
            <w:hideMark/>
          </w:tcPr>
          <w:p w:rsidR="00AF0282" w:rsidRPr="00D6564C" w:rsidRDefault="00AF0282" w:rsidP="00916BEF">
            <w:pPr>
              <w:keepNext/>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DEMAND RESPONSE - CUMULATIVE INCREMENTAL IMPACTS</w:t>
            </w:r>
          </w:p>
        </w:tc>
        <w:tc>
          <w:tcPr>
            <w:tcW w:w="1035" w:type="dxa"/>
            <w:tcBorders>
              <w:top w:val="nil"/>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X</w:t>
            </w:r>
          </w:p>
        </w:tc>
        <w:tc>
          <w:tcPr>
            <w:tcW w:w="1048" w:type="dxa"/>
            <w:tcBorders>
              <w:top w:val="nil"/>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w:t>
            </w:r>
          </w:p>
        </w:tc>
        <w:tc>
          <w:tcPr>
            <w:tcW w:w="1013" w:type="dxa"/>
            <w:tcBorders>
              <w:top w:val="nil"/>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w:t>
            </w:r>
          </w:p>
        </w:tc>
      </w:tr>
      <w:tr w:rsidR="00AF0282" w:rsidRPr="00D6564C" w:rsidTr="00762A52">
        <w:trPr>
          <w:jc w:val="center"/>
        </w:trPr>
        <w:tc>
          <w:tcPr>
            <w:tcW w:w="1284" w:type="dxa"/>
            <w:tcBorders>
              <w:top w:val="nil"/>
              <w:left w:val="single" w:sz="4" w:space="0" w:color="0070C0"/>
              <w:bottom w:val="single" w:sz="4" w:space="0" w:color="0070C0"/>
              <w:right w:val="single" w:sz="4" w:space="0" w:color="0070C0"/>
            </w:tcBorders>
            <w:shd w:val="clear" w:color="auto" w:fill="auto"/>
            <w:noWrap/>
            <w:vAlign w:val="center"/>
            <w:hideMark/>
          </w:tcPr>
          <w:p w:rsidR="00AF0282" w:rsidRPr="00D6564C" w:rsidRDefault="00AF0282" w:rsidP="00916BEF">
            <w:pPr>
              <w:keepNext/>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Form 4</w:t>
            </w:r>
          </w:p>
        </w:tc>
        <w:tc>
          <w:tcPr>
            <w:tcW w:w="4826" w:type="dxa"/>
            <w:tcBorders>
              <w:top w:val="nil"/>
              <w:left w:val="nil"/>
              <w:bottom w:val="single" w:sz="4" w:space="0" w:color="0070C0"/>
              <w:right w:val="single" w:sz="4" w:space="0" w:color="0070C0"/>
            </w:tcBorders>
            <w:shd w:val="clear" w:color="auto" w:fill="auto"/>
            <w:vAlign w:val="center"/>
            <w:hideMark/>
          </w:tcPr>
          <w:p w:rsidR="00AF0282" w:rsidRPr="00D6564C" w:rsidRDefault="00AF0282" w:rsidP="00916BEF">
            <w:pPr>
              <w:keepNext/>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REPORT ON FORECAST METHODS AND MODELS</w:t>
            </w:r>
          </w:p>
        </w:tc>
        <w:tc>
          <w:tcPr>
            <w:tcW w:w="1035" w:type="dxa"/>
            <w:tcBorders>
              <w:top w:val="nil"/>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X</w:t>
            </w:r>
          </w:p>
        </w:tc>
        <w:tc>
          <w:tcPr>
            <w:tcW w:w="1048" w:type="dxa"/>
            <w:tcBorders>
              <w:top w:val="nil"/>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X</w:t>
            </w:r>
          </w:p>
        </w:tc>
        <w:tc>
          <w:tcPr>
            <w:tcW w:w="1013" w:type="dxa"/>
            <w:tcBorders>
              <w:top w:val="nil"/>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w:t>
            </w:r>
          </w:p>
        </w:tc>
      </w:tr>
      <w:tr w:rsidR="00AF0282" w:rsidRPr="00D6564C" w:rsidTr="00762A52">
        <w:trPr>
          <w:jc w:val="center"/>
        </w:trPr>
        <w:tc>
          <w:tcPr>
            <w:tcW w:w="1284" w:type="dxa"/>
            <w:tcBorders>
              <w:top w:val="nil"/>
              <w:left w:val="single" w:sz="4" w:space="0" w:color="0070C0"/>
              <w:bottom w:val="single" w:sz="4" w:space="0" w:color="0070C0"/>
              <w:right w:val="single" w:sz="4" w:space="0" w:color="0070C0"/>
            </w:tcBorders>
            <w:shd w:val="clear" w:color="auto" w:fill="auto"/>
            <w:noWrap/>
            <w:vAlign w:val="center"/>
            <w:hideMark/>
          </w:tcPr>
          <w:p w:rsidR="00AF0282" w:rsidRPr="00D6564C" w:rsidRDefault="00AF0282" w:rsidP="00916BEF">
            <w:pPr>
              <w:keepNext/>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Form 6</w:t>
            </w:r>
          </w:p>
        </w:tc>
        <w:tc>
          <w:tcPr>
            <w:tcW w:w="4826" w:type="dxa"/>
            <w:tcBorders>
              <w:top w:val="nil"/>
              <w:left w:val="nil"/>
              <w:bottom w:val="single" w:sz="4" w:space="0" w:color="0070C0"/>
              <w:right w:val="single" w:sz="4" w:space="0" w:color="0070C0"/>
            </w:tcBorders>
            <w:shd w:val="clear" w:color="auto" w:fill="auto"/>
            <w:vAlign w:val="center"/>
            <w:hideMark/>
          </w:tcPr>
          <w:p w:rsidR="00AF0282" w:rsidRPr="00D6564C" w:rsidRDefault="00AF0282" w:rsidP="00916BEF">
            <w:pPr>
              <w:keepNext/>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UNCOMMITTED DEMAND-SIDE PROGRAM METHODOLOGY</w:t>
            </w:r>
          </w:p>
        </w:tc>
        <w:tc>
          <w:tcPr>
            <w:tcW w:w="1035" w:type="dxa"/>
            <w:tcBorders>
              <w:top w:val="nil"/>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X</w:t>
            </w:r>
          </w:p>
        </w:tc>
        <w:tc>
          <w:tcPr>
            <w:tcW w:w="1048" w:type="dxa"/>
            <w:tcBorders>
              <w:top w:val="nil"/>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w:t>
            </w:r>
          </w:p>
        </w:tc>
        <w:tc>
          <w:tcPr>
            <w:tcW w:w="1013" w:type="dxa"/>
            <w:tcBorders>
              <w:top w:val="nil"/>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w:t>
            </w:r>
          </w:p>
        </w:tc>
      </w:tr>
      <w:tr w:rsidR="00AF0282" w:rsidRPr="00D6564C" w:rsidTr="00762A52">
        <w:trPr>
          <w:jc w:val="center"/>
        </w:trPr>
        <w:tc>
          <w:tcPr>
            <w:tcW w:w="1284" w:type="dxa"/>
            <w:tcBorders>
              <w:top w:val="nil"/>
              <w:left w:val="single" w:sz="4" w:space="0" w:color="0070C0"/>
              <w:bottom w:val="single" w:sz="4" w:space="0" w:color="0070C0"/>
              <w:right w:val="single" w:sz="4" w:space="0" w:color="0070C0"/>
            </w:tcBorders>
            <w:shd w:val="clear" w:color="auto" w:fill="auto"/>
            <w:noWrap/>
            <w:vAlign w:val="center"/>
            <w:hideMark/>
          </w:tcPr>
          <w:p w:rsidR="00AF0282" w:rsidRPr="00D6564C" w:rsidRDefault="00AF0282" w:rsidP="00916BEF">
            <w:pPr>
              <w:keepNext/>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Form 7.1</w:t>
            </w:r>
          </w:p>
        </w:tc>
        <w:tc>
          <w:tcPr>
            <w:tcW w:w="4826" w:type="dxa"/>
            <w:tcBorders>
              <w:top w:val="nil"/>
              <w:left w:val="nil"/>
              <w:bottom w:val="single" w:sz="4" w:space="0" w:color="0070C0"/>
              <w:right w:val="single" w:sz="4" w:space="0" w:color="0070C0"/>
            </w:tcBorders>
            <w:shd w:val="clear" w:color="auto" w:fill="auto"/>
            <w:vAlign w:val="center"/>
            <w:hideMark/>
          </w:tcPr>
          <w:p w:rsidR="00AF0282" w:rsidRPr="00D6564C" w:rsidRDefault="00AF0282" w:rsidP="00916BEF">
            <w:pPr>
              <w:keepNext/>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ESP DEMAND FORECAST</w:t>
            </w:r>
          </w:p>
        </w:tc>
        <w:tc>
          <w:tcPr>
            <w:tcW w:w="1035" w:type="dxa"/>
            <w:tcBorders>
              <w:top w:val="nil"/>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w:t>
            </w:r>
          </w:p>
        </w:tc>
        <w:tc>
          <w:tcPr>
            <w:tcW w:w="1048" w:type="dxa"/>
            <w:tcBorders>
              <w:top w:val="nil"/>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w:t>
            </w:r>
          </w:p>
        </w:tc>
        <w:tc>
          <w:tcPr>
            <w:tcW w:w="1013" w:type="dxa"/>
            <w:tcBorders>
              <w:top w:val="nil"/>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X</w:t>
            </w:r>
          </w:p>
        </w:tc>
      </w:tr>
      <w:tr w:rsidR="00AF0282" w:rsidRPr="00D6564C" w:rsidTr="00762A52">
        <w:trPr>
          <w:jc w:val="center"/>
        </w:trPr>
        <w:tc>
          <w:tcPr>
            <w:tcW w:w="1284" w:type="dxa"/>
            <w:tcBorders>
              <w:top w:val="nil"/>
              <w:left w:val="single" w:sz="4" w:space="0" w:color="0070C0"/>
              <w:bottom w:val="single" w:sz="4" w:space="0" w:color="0070C0"/>
              <w:right w:val="single" w:sz="4" w:space="0" w:color="0070C0"/>
            </w:tcBorders>
            <w:shd w:val="clear" w:color="auto" w:fill="auto"/>
            <w:noWrap/>
            <w:vAlign w:val="center"/>
            <w:hideMark/>
          </w:tcPr>
          <w:p w:rsidR="00AF0282" w:rsidRPr="00D6564C" w:rsidRDefault="00AF0282" w:rsidP="00916BEF">
            <w:pPr>
              <w:keepNext/>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Form 7.2</w:t>
            </w:r>
          </w:p>
        </w:tc>
        <w:tc>
          <w:tcPr>
            <w:tcW w:w="4826" w:type="dxa"/>
            <w:tcBorders>
              <w:top w:val="nil"/>
              <w:left w:val="nil"/>
              <w:bottom w:val="single" w:sz="4" w:space="0" w:color="0070C0"/>
              <w:right w:val="single" w:sz="4" w:space="0" w:color="0070C0"/>
            </w:tcBorders>
            <w:shd w:val="clear" w:color="auto" w:fill="auto"/>
            <w:vAlign w:val="center"/>
            <w:hideMark/>
          </w:tcPr>
          <w:p w:rsidR="00AF0282" w:rsidRPr="00D6564C" w:rsidRDefault="00AF0282" w:rsidP="00916BEF">
            <w:pPr>
              <w:keepNext/>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CCA DEMAND FORECAST</w:t>
            </w:r>
          </w:p>
        </w:tc>
        <w:tc>
          <w:tcPr>
            <w:tcW w:w="1035" w:type="dxa"/>
            <w:tcBorders>
              <w:top w:val="nil"/>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w:t>
            </w:r>
          </w:p>
        </w:tc>
        <w:tc>
          <w:tcPr>
            <w:tcW w:w="1048" w:type="dxa"/>
            <w:tcBorders>
              <w:top w:val="nil"/>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X</w:t>
            </w:r>
          </w:p>
        </w:tc>
        <w:tc>
          <w:tcPr>
            <w:tcW w:w="1013" w:type="dxa"/>
            <w:tcBorders>
              <w:top w:val="nil"/>
              <w:left w:val="nil"/>
              <w:bottom w:val="single" w:sz="4" w:space="0" w:color="0070C0"/>
              <w:right w:val="single" w:sz="4" w:space="0" w:color="0070C0"/>
            </w:tcBorders>
            <w:shd w:val="clear" w:color="auto" w:fill="auto"/>
            <w:noWrap/>
            <w:vAlign w:val="center"/>
            <w:hideMark/>
          </w:tcPr>
          <w:p w:rsidR="00AF0282" w:rsidRPr="00D6564C" w:rsidRDefault="00AF0282" w:rsidP="00916BEF">
            <w:pPr>
              <w:keepNext/>
              <w:spacing w:after="200"/>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w:t>
            </w:r>
          </w:p>
        </w:tc>
      </w:tr>
    </w:tbl>
    <w:p w:rsidR="00AF0282" w:rsidRPr="00D6564C" w:rsidRDefault="00AF0282" w:rsidP="00AF0282">
      <w:pPr>
        <w:spacing w:after="200" w:line="276" w:lineRule="auto"/>
        <w:ind w:left="360"/>
        <w:rPr>
          <w:rFonts w:asciiTheme="minorHAnsi" w:eastAsiaTheme="minorHAnsi" w:hAnsiTheme="minorHAnsi" w:cstheme="minorBidi"/>
          <w:i/>
          <w:sz w:val="22"/>
          <w:szCs w:val="22"/>
        </w:rPr>
      </w:pPr>
    </w:p>
    <w:p w:rsidR="00AF0282" w:rsidRPr="00D6564C" w:rsidRDefault="00AF0282" w:rsidP="00AF0282">
      <w:pPr>
        <w:spacing w:after="200" w:line="276" w:lineRule="auto"/>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Each LSE should save a separate file for each portfolio in the format of “Data_LSEname_NewRsrc_Identifier_yyyymmdd.xlsx” where the field “</w:t>
      </w:r>
      <w:proofErr w:type="spellStart"/>
      <w:r w:rsidRPr="00D6564C">
        <w:rPr>
          <w:rFonts w:asciiTheme="minorHAnsi" w:eastAsiaTheme="minorHAnsi" w:hAnsiTheme="minorHAnsi" w:cstheme="minorBidi"/>
          <w:i/>
          <w:sz w:val="22"/>
          <w:szCs w:val="22"/>
        </w:rPr>
        <w:t>LSEname</w:t>
      </w:r>
      <w:proofErr w:type="spellEnd"/>
      <w:r w:rsidRPr="00D6564C">
        <w:rPr>
          <w:rFonts w:asciiTheme="minorHAnsi" w:eastAsiaTheme="minorHAnsi" w:hAnsiTheme="minorHAnsi" w:cstheme="minorBidi"/>
          <w:i/>
          <w:sz w:val="22"/>
          <w:szCs w:val="22"/>
        </w:rPr>
        <w:t>” is replaced with the LSE name (</w:t>
      </w:r>
      <w:r w:rsidR="00D55E27">
        <w:rPr>
          <w:rFonts w:asciiTheme="minorHAnsi" w:eastAsiaTheme="minorHAnsi" w:hAnsiTheme="minorHAnsi" w:cstheme="minorBidi"/>
          <w:i/>
          <w:sz w:val="22"/>
          <w:szCs w:val="22"/>
        </w:rPr>
        <w:t>only letters allowed, no spaces or other characters</w:t>
      </w:r>
      <w:r w:rsidRPr="00D6564C">
        <w:rPr>
          <w:rFonts w:asciiTheme="minorHAnsi" w:eastAsiaTheme="minorHAnsi" w:hAnsiTheme="minorHAnsi" w:cstheme="minorBidi"/>
          <w:i/>
          <w:sz w:val="22"/>
          <w:szCs w:val="22"/>
        </w:rPr>
        <w:t>), the field “Identifier” is replaced with Conforming, Alternate1, Alternate2, etc</w:t>
      </w:r>
      <w:r w:rsidR="00D55E27">
        <w:rPr>
          <w:rFonts w:asciiTheme="minorHAnsi" w:eastAsiaTheme="minorHAnsi" w:hAnsiTheme="minorHAnsi" w:cstheme="minorBidi"/>
          <w:i/>
          <w:sz w:val="22"/>
          <w:szCs w:val="22"/>
        </w:rPr>
        <w:t>.</w:t>
      </w:r>
      <w:r w:rsidRPr="00D6564C">
        <w:rPr>
          <w:rFonts w:asciiTheme="minorHAnsi" w:eastAsiaTheme="minorHAnsi" w:hAnsiTheme="minorHAnsi" w:cstheme="minorBidi"/>
          <w:i/>
          <w:sz w:val="22"/>
          <w:szCs w:val="22"/>
        </w:rPr>
        <w:t>, and “</w:t>
      </w:r>
      <w:proofErr w:type="spellStart"/>
      <w:r w:rsidRPr="00D6564C">
        <w:rPr>
          <w:rFonts w:asciiTheme="minorHAnsi" w:eastAsiaTheme="minorHAnsi" w:hAnsiTheme="minorHAnsi" w:cstheme="minorBidi"/>
          <w:i/>
          <w:sz w:val="22"/>
          <w:szCs w:val="22"/>
        </w:rPr>
        <w:t>yyyymmdd</w:t>
      </w:r>
      <w:proofErr w:type="spellEnd"/>
      <w:r w:rsidRPr="00D6564C">
        <w:rPr>
          <w:rFonts w:asciiTheme="minorHAnsi" w:eastAsiaTheme="minorHAnsi" w:hAnsiTheme="minorHAnsi" w:cstheme="minorBidi"/>
          <w:i/>
          <w:sz w:val="22"/>
          <w:szCs w:val="22"/>
        </w:rPr>
        <w:t>” is replaced with the date the file is submitted to the Commission.  Spaces are not allowed in the file name.  Special characters are not allowed, except for underscore (“_”) and dash (“-”).</w:t>
      </w:r>
    </w:p>
    <w:p w:rsidR="00AF0282" w:rsidRPr="00D6564C" w:rsidRDefault="00AF0282" w:rsidP="00AF0282">
      <w:pPr>
        <w:keepNext/>
        <w:keepLines/>
        <w:numPr>
          <w:ilvl w:val="1"/>
          <w:numId w:val="1"/>
        </w:numPr>
        <w:spacing w:before="480" w:after="240" w:line="276" w:lineRule="auto"/>
        <w:ind w:left="864" w:hanging="504"/>
        <w:outlineLvl w:val="1"/>
        <w:rPr>
          <w:rFonts w:asciiTheme="majorHAnsi" w:eastAsiaTheme="majorEastAsia" w:hAnsiTheme="majorHAnsi" w:cstheme="majorBidi"/>
          <w:b/>
          <w:bCs/>
          <w:sz w:val="24"/>
          <w:szCs w:val="28"/>
        </w:rPr>
      </w:pPr>
      <w:bookmarkStart w:id="52" w:name="_Toc501375939"/>
      <w:r w:rsidRPr="00D6564C">
        <w:rPr>
          <w:rFonts w:asciiTheme="majorHAnsi" w:eastAsiaTheme="majorEastAsia" w:hAnsiTheme="majorHAnsi" w:cstheme="majorBidi"/>
          <w:b/>
          <w:bCs/>
          <w:sz w:val="24"/>
          <w:szCs w:val="28"/>
        </w:rPr>
        <w:t>Other Data Reporting Guidelines</w:t>
      </w:r>
      <w:bookmarkEnd w:id="52"/>
    </w:p>
    <w:p w:rsidR="00AF0282" w:rsidRPr="00D6564C" w:rsidRDefault="00AF0282" w:rsidP="00AF0282">
      <w:pPr>
        <w:spacing w:after="200" w:line="276" w:lineRule="auto"/>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xml:space="preserve">The LSE </w:t>
      </w:r>
      <w:r>
        <w:rPr>
          <w:rFonts w:asciiTheme="minorHAnsi" w:eastAsiaTheme="minorHAnsi" w:hAnsiTheme="minorHAnsi" w:cstheme="minorBidi"/>
          <w:i/>
          <w:sz w:val="22"/>
          <w:szCs w:val="22"/>
        </w:rPr>
        <w:t>will</w:t>
      </w:r>
      <w:r w:rsidRPr="00D6564C">
        <w:rPr>
          <w:rFonts w:asciiTheme="minorHAnsi" w:eastAsiaTheme="minorHAnsi" w:hAnsiTheme="minorHAnsi" w:cstheme="minorBidi"/>
          <w:i/>
          <w:sz w:val="22"/>
          <w:szCs w:val="22"/>
        </w:rPr>
        <w:t xml:space="preserve"> need to report supplemental or supporting data </w:t>
      </w:r>
      <w:r>
        <w:rPr>
          <w:rFonts w:asciiTheme="minorHAnsi" w:eastAsiaTheme="minorHAnsi" w:hAnsiTheme="minorHAnsi" w:cstheme="minorBidi"/>
          <w:i/>
          <w:sz w:val="22"/>
          <w:szCs w:val="22"/>
        </w:rPr>
        <w:t xml:space="preserve">such as annual emissions estimates </w:t>
      </w:r>
      <w:r w:rsidRPr="00D6564C">
        <w:rPr>
          <w:rFonts w:asciiTheme="minorHAnsi" w:eastAsiaTheme="minorHAnsi" w:hAnsiTheme="minorHAnsi" w:cstheme="minorBidi"/>
          <w:i/>
          <w:sz w:val="22"/>
          <w:szCs w:val="22"/>
        </w:rPr>
        <w:t xml:space="preserve">that is </w:t>
      </w:r>
      <w:r>
        <w:rPr>
          <w:rFonts w:asciiTheme="minorHAnsi" w:eastAsiaTheme="minorHAnsi" w:hAnsiTheme="minorHAnsi" w:cstheme="minorBidi"/>
          <w:i/>
          <w:sz w:val="22"/>
          <w:szCs w:val="22"/>
        </w:rPr>
        <w:t xml:space="preserve">requested </w:t>
      </w:r>
      <w:r w:rsidRPr="00D6564C">
        <w:rPr>
          <w:rFonts w:asciiTheme="minorHAnsi" w:eastAsiaTheme="minorHAnsi" w:hAnsiTheme="minorHAnsi" w:cstheme="minorBidi"/>
          <w:i/>
          <w:sz w:val="22"/>
          <w:szCs w:val="22"/>
        </w:rPr>
        <w:t>within the Standard LSE Plan Template instruction above</w:t>
      </w:r>
      <w:r>
        <w:rPr>
          <w:rFonts w:asciiTheme="minorHAnsi" w:eastAsiaTheme="minorHAnsi" w:hAnsiTheme="minorHAnsi" w:cstheme="minorBidi"/>
          <w:i/>
          <w:sz w:val="22"/>
          <w:szCs w:val="22"/>
        </w:rPr>
        <w:t xml:space="preserve"> but is not part of the Excel Workbook Baseline Resource or New Resource Data Templates</w:t>
      </w:r>
      <w:r w:rsidRPr="00D6564C">
        <w:rPr>
          <w:rFonts w:asciiTheme="minorHAnsi" w:eastAsiaTheme="minorHAnsi" w:hAnsiTheme="minorHAnsi" w:cstheme="minorBidi"/>
          <w:i/>
          <w:sz w:val="22"/>
          <w:szCs w:val="22"/>
        </w:rPr>
        <w:t xml:space="preserve">.  LSEs should report </w:t>
      </w:r>
      <w:r>
        <w:rPr>
          <w:rFonts w:asciiTheme="minorHAnsi" w:eastAsiaTheme="minorHAnsi" w:hAnsiTheme="minorHAnsi" w:cstheme="minorBidi"/>
          <w:i/>
          <w:sz w:val="22"/>
          <w:szCs w:val="22"/>
        </w:rPr>
        <w:t>such</w:t>
      </w:r>
      <w:r w:rsidRPr="00D6564C">
        <w:rPr>
          <w:rFonts w:asciiTheme="minorHAnsi" w:eastAsiaTheme="minorHAnsi" w:hAnsiTheme="minorHAnsi" w:cstheme="minorBidi"/>
          <w:i/>
          <w:sz w:val="22"/>
          <w:szCs w:val="22"/>
        </w:rPr>
        <w:t xml:space="preserve"> data </w:t>
      </w:r>
      <w:r>
        <w:rPr>
          <w:rFonts w:asciiTheme="minorHAnsi" w:eastAsiaTheme="minorHAnsi" w:hAnsiTheme="minorHAnsi" w:cstheme="minorBidi"/>
          <w:i/>
          <w:sz w:val="22"/>
          <w:szCs w:val="22"/>
        </w:rPr>
        <w:t xml:space="preserve">or any other supporting data </w:t>
      </w:r>
      <w:r w:rsidRPr="00D6564C">
        <w:rPr>
          <w:rFonts w:asciiTheme="minorHAnsi" w:eastAsiaTheme="minorHAnsi" w:hAnsiTheme="minorHAnsi" w:cstheme="minorBidi"/>
          <w:i/>
          <w:sz w:val="22"/>
          <w:szCs w:val="22"/>
        </w:rPr>
        <w:t>in one or more Excel-compatible workbooks.</w:t>
      </w:r>
    </w:p>
    <w:p w:rsidR="00AF0282" w:rsidRPr="00D6564C" w:rsidRDefault="00AF0282" w:rsidP="00AF0282">
      <w:pPr>
        <w:spacing w:after="200" w:line="276" w:lineRule="auto"/>
        <w:ind w:left="360"/>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Save a separate file for each portfolio in the format of “Supporting_LSEname_Identifier_yyyymmdd.xlsx” where the field “</w:t>
      </w:r>
      <w:proofErr w:type="spellStart"/>
      <w:r w:rsidRPr="00D6564C">
        <w:rPr>
          <w:rFonts w:asciiTheme="minorHAnsi" w:eastAsiaTheme="minorHAnsi" w:hAnsiTheme="minorHAnsi" w:cstheme="minorBidi"/>
          <w:i/>
          <w:sz w:val="22"/>
          <w:szCs w:val="22"/>
        </w:rPr>
        <w:t>LSEname</w:t>
      </w:r>
      <w:proofErr w:type="spellEnd"/>
      <w:r w:rsidRPr="00D6564C">
        <w:rPr>
          <w:rFonts w:asciiTheme="minorHAnsi" w:eastAsiaTheme="minorHAnsi" w:hAnsiTheme="minorHAnsi" w:cstheme="minorBidi"/>
          <w:i/>
          <w:sz w:val="22"/>
          <w:szCs w:val="22"/>
        </w:rPr>
        <w:t>” is replaced with the LSE name (</w:t>
      </w:r>
      <w:r w:rsidR="003173B9">
        <w:rPr>
          <w:rFonts w:asciiTheme="minorHAnsi" w:eastAsiaTheme="minorHAnsi" w:hAnsiTheme="minorHAnsi" w:cstheme="minorBidi"/>
          <w:i/>
          <w:sz w:val="22"/>
          <w:szCs w:val="22"/>
        </w:rPr>
        <w:t>only letters allowed, no spaces or other characters</w:t>
      </w:r>
      <w:r w:rsidRPr="00D6564C">
        <w:rPr>
          <w:rFonts w:asciiTheme="minorHAnsi" w:eastAsiaTheme="minorHAnsi" w:hAnsiTheme="minorHAnsi" w:cstheme="minorBidi"/>
          <w:i/>
          <w:sz w:val="22"/>
          <w:szCs w:val="22"/>
        </w:rPr>
        <w:t>), the field “Identifier” is replaced with Conforming, Alternat</w:t>
      </w:r>
      <w:r w:rsidR="003173B9">
        <w:rPr>
          <w:rFonts w:asciiTheme="minorHAnsi" w:eastAsiaTheme="minorHAnsi" w:hAnsiTheme="minorHAnsi" w:cstheme="minorBidi"/>
          <w:i/>
          <w:sz w:val="22"/>
          <w:szCs w:val="22"/>
        </w:rPr>
        <w:t>iv</w:t>
      </w:r>
      <w:r w:rsidRPr="00D6564C">
        <w:rPr>
          <w:rFonts w:asciiTheme="minorHAnsi" w:eastAsiaTheme="minorHAnsi" w:hAnsiTheme="minorHAnsi" w:cstheme="minorBidi"/>
          <w:i/>
          <w:sz w:val="22"/>
          <w:szCs w:val="22"/>
        </w:rPr>
        <w:t>e1, Alternat</w:t>
      </w:r>
      <w:r w:rsidR="003173B9">
        <w:rPr>
          <w:rFonts w:asciiTheme="minorHAnsi" w:eastAsiaTheme="minorHAnsi" w:hAnsiTheme="minorHAnsi" w:cstheme="minorBidi"/>
          <w:i/>
          <w:sz w:val="22"/>
          <w:szCs w:val="22"/>
        </w:rPr>
        <w:t>iv</w:t>
      </w:r>
      <w:r w:rsidRPr="00D6564C">
        <w:rPr>
          <w:rFonts w:asciiTheme="minorHAnsi" w:eastAsiaTheme="minorHAnsi" w:hAnsiTheme="minorHAnsi" w:cstheme="minorBidi"/>
          <w:i/>
          <w:sz w:val="22"/>
          <w:szCs w:val="22"/>
        </w:rPr>
        <w:t>e2, etc</w:t>
      </w:r>
      <w:r w:rsidR="003173B9">
        <w:rPr>
          <w:rFonts w:asciiTheme="minorHAnsi" w:eastAsiaTheme="minorHAnsi" w:hAnsiTheme="minorHAnsi" w:cstheme="minorBidi"/>
          <w:i/>
          <w:sz w:val="22"/>
          <w:szCs w:val="22"/>
        </w:rPr>
        <w:t>.</w:t>
      </w:r>
      <w:r w:rsidRPr="00D6564C">
        <w:rPr>
          <w:rFonts w:asciiTheme="minorHAnsi" w:eastAsiaTheme="minorHAnsi" w:hAnsiTheme="minorHAnsi" w:cstheme="minorBidi"/>
          <w:i/>
          <w:sz w:val="22"/>
          <w:szCs w:val="22"/>
        </w:rPr>
        <w:t>, and “</w:t>
      </w:r>
      <w:proofErr w:type="spellStart"/>
      <w:r w:rsidRPr="00D6564C">
        <w:rPr>
          <w:rFonts w:asciiTheme="minorHAnsi" w:eastAsiaTheme="minorHAnsi" w:hAnsiTheme="minorHAnsi" w:cstheme="minorBidi"/>
          <w:i/>
          <w:sz w:val="22"/>
          <w:szCs w:val="22"/>
        </w:rPr>
        <w:t>yyyymmdd</w:t>
      </w:r>
      <w:proofErr w:type="spellEnd"/>
      <w:r w:rsidRPr="00D6564C">
        <w:rPr>
          <w:rFonts w:asciiTheme="minorHAnsi" w:eastAsiaTheme="minorHAnsi" w:hAnsiTheme="minorHAnsi" w:cstheme="minorBidi"/>
          <w:i/>
          <w:sz w:val="22"/>
          <w:szCs w:val="22"/>
        </w:rPr>
        <w:t xml:space="preserve">” is replaced with the date the file is </w:t>
      </w:r>
      <w:r w:rsidRPr="00D6564C">
        <w:rPr>
          <w:rFonts w:asciiTheme="minorHAnsi" w:eastAsiaTheme="minorHAnsi" w:hAnsiTheme="minorHAnsi" w:cstheme="minorBidi"/>
          <w:i/>
          <w:sz w:val="22"/>
          <w:szCs w:val="22"/>
        </w:rPr>
        <w:lastRenderedPageBreak/>
        <w:t>submitted to the Commission.  Spaces are not allowed in the file name.  Special characters are not allowed, except for underscore (“_”) and dash (“-”).</w:t>
      </w:r>
    </w:p>
    <w:p w:rsidR="00AF0282" w:rsidRPr="00D6564C" w:rsidRDefault="00AF0282" w:rsidP="00AF0282">
      <w:pPr>
        <w:keepNext/>
        <w:keepLines/>
        <w:numPr>
          <w:ilvl w:val="0"/>
          <w:numId w:val="1"/>
        </w:numPr>
        <w:spacing w:before="480" w:after="240" w:line="276" w:lineRule="auto"/>
        <w:ind w:left="360"/>
        <w:outlineLvl w:val="0"/>
        <w:rPr>
          <w:rFonts w:asciiTheme="majorHAnsi" w:eastAsiaTheme="majorEastAsia" w:hAnsiTheme="majorHAnsi" w:cstheme="majorBidi"/>
          <w:b/>
          <w:bCs/>
          <w:sz w:val="28"/>
          <w:szCs w:val="28"/>
        </w:rPr>
      </w:pPr>
      <w:bookmarkStart w:id="53" w:name="_Toc501375940"/>
      <w:r w:rsidRPr="00D6564C">
        <w:rPr>
          <w:rFonts w:asciiTheme="majorHAnsi" w:eastAsiaTheme="majorEastAsia" w:hAnsiTheme="majorHAnsi" w:cstheme="majorBidi"/>
          <w:b/>
          <w:bCs/>
          <w:sz w:val="28"/>
          <w:szCs w:val="28"/>
        </w:rPr>
        <w:t>Lessons Learned</w:t>
      </w:r>
      <w:bookmarkEnd w:id="53"/>
    </w:p>
    <w:p w:rsidR="00AF0282" w:rsidRPr="00D6564C" w:rsidRDefault="00AF0282" w:rsidP="00AF0282">
      <w:pPr>
        <w:spacing w:after="20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i/>
          <w:sz w:val="22"/>
          <w:szCs w:val="22"/>
        </w:rPr>
        <w:t xml:space="preserve">Document any suggested changes to the IRP process for consideration by the Commission. Explain how the change would facilitate the ability of the Commission and LSEs to achieve state policy goals. </w:t>
      </w:r>
    </w:p>
    <w:p w:rsidR="00AF0282" w:rsidRPr="00D6564C" w:rsidRDefault="00AF0282" w:rsidP="00AF0282">
      <w:pPr>
        <w:spacing w:after="200" w:line="276" w:lineRule="auto"/>
        <w:rPr>
          <w:rFonts w:asciiTheme="minorHAnsi" w:eastAsiaTheme="minorHAnsi" w:hAnsiTheme="minorHAnsi" w:cstheme="minorBidi"/>
          <w:sz w:val="22"/>
          <w:szCs w:val="22"/>
        </w:rPr>
      </w:pPr>
    </w:p>
    <w:p w:rsidR="00AF0282" w:rsidRPr="00D6564C" w:rsidRDefault="00AF0282" w:rsidP="00AF0282">
      <w:pPr>
        <w:spacing w:after="200" w:line="276" w:lineRule="auto"/>
        <w:rPr>
          <w:rFonts w:asciiTheme="majorHAnsi" w:eastAsiaTheme="majorEastAsia" w:hAnsiTheme="majorHAnsi" w:cstheme="majorBidi"/>
          <w:b/>
          <w:bCs/>
          <w:i/>
          <w:sz w:val="28"/>
          <w:szCs w:val="28"/>
        </w:rPr>
      </w:pPr>
      <w:r w:rsidRPr="00D6564C">
        <w:rPr>
          <w:rFonts w:asciiTheme="minorHAnsi" w:eastAsiaTheme="minorHAnsi" w:hAnsiTheme="minorHAnsi" w:cstheme="minorBidi"/>
          <w:i/>
          <w:sz w:val="22"/>
          <w:szCs w:val="22"/>
        </w:rPr>
        <w:br w:type="page"/>
      </w:r>
    </w:p>
    <w:p w:rsidR="00AF0282" w:rsidRPr="00D6564C" w:rsidRDefault="00AF0282" w:rsidP="00AF0282">
      <w:pPr>
        <w:keepNext/>
        <w:keepLines/>
        <w:spacing w:before="480" w:after="240" w:line="276" w:lineRule="auto"/>
        <w:ind w:left="360" w:hanging="360"/>
        <w:outlineLvl w:val="0"/>
        <w:rPr>
          <w:rFonts w:asciiTheme="majorHAnsi" w:eastAsiaTheme="majorEastAsia" w:hAnsiTheme="majorHAnsi" w:cstheme="majorBidi"/>
          <w:b/>
          <w:bCs/>
          <w:i/>
          <w:sz w:val="28"/>
          <w:szCs w:val="28"/>
        </w:rPr>
      </w:pPr>
      <w:bookmarkStart w:id="54" w:name="_Toc501375941"/>
      <w:r w:rsidRPr="00D6564C">
        <w:rPr>
          <w:rFonts w:asciiTheme="majorHAnsi" w:eastAsiaTheme="majorEastAsia" w:hAnsiTheme="majorHAnsi" w:cstheme="majorBidi"/>
          <w:b/>
          <w:bCs/>
          <w:i/>
          <w:sz w:val="28"/>
          <w:szCs w:val="28"/>
        </w:rPr>
        <w:lastRenderedPageBreak/>
        <w:t>Glossary of Terms</w:t>
      </w:r>
      <w:bookmarkEnd w:id="54"/>
    </w:p>
    <w:p w:rsidR="00AF0282" w:rsidRPr="00D6564C" w:rsidRDefault="00AF0282" w:rsidP="00AF0282">
      <w:pPr>
        <w:spacing w:after="20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b/>
          <w:i/>
          <w:sz w:val="22"/>
          <w:szCs w:val="22"/>
        </w:rPr>
        <w:t>Alternative Portfolio</w:t>
      </w:r>
      <w:r w:rsidRPr="00D6564C">
        <w:rPr>
          <w:rFonts w:asciiTheme="minorHAnsi" w:eastAsiaTheme="minorHAnsi" w:hAnsiTheme="minorHAnsi" w:cstheme="minorBidi"/>
          <w:i/>
          <w:sz w:val="22"/>
          <w:szCs w:val="22"/>
        </w:rPr>
        <w:t xml:space="preserve"> – LSEs are permitted to submit “Alternative Portfolios” developed from scenarios using different assumptions from those used in the Reference System Plan. Any deviations from the Conforming Portfolio must be explained and justified.</w:t>
      </w:r>
    </w:p>
    <w:p w:rsidR="00AF0282" w:rsidRPr="00D6564C" w:rsidRDefault="00AF0282" w:rsidP="00AF0282">
      <w:pPr>
        <w:spacing w:after="20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b/>
          <w:i/>
          <w:sz w:val="22"/>
          <w:szCs w:val="22"/>
        </w:rPr>
        <w:t>Conforming Portfolio</w:t>
      </w:r>
      <w:r w:rsidRPr="00D6564C">
        <w:rPr>
          <w:rFonts w:asciiTheme="minorHAnsi" w:eastAsiaTheme="minorHAnsi" w:hAnsiTheme="minorHAnsi" w:cstheme="minorBidi"/>
          <w:i/>
          <w:sz w:val="22"/>
          <w:szCs w:val="22"/>
        </w:rPr>
        <w:t xml:space="preserve"> – Each LSE must produce a “Conforming Portfolio” that is demonstrated to be consistent with the Reference System Portfolio according to the following criteria: (1) use of either the GHG Planning Prices or the LSE-Specific 2030 GHG Emissions Benchmark, (2) use of input assumptions matching those used in developing the Reference System Portfolio</w:t>
      </w:r>
      <w:r w:rsidR="000F58F4">
        <w:rPr>
          <w:rFonts w:asciiTheme="minorHAnsi" w:eastAsiaTheme="minorHAnsi" w:hAnsiTheme="minorHAnsi" w:cstheme="minorBidi"/>
          <w:i/>
          <w:sz w:val="22"/>
          <w:szCs w:val="22"/>
        </w:rPr>
        <w:t>, and (3) consistent with the 2017 IEPR</w:t>
      </w:r>
      <w:r w:rsidR="000F58F4" w:rsidRPr="000F58F4">
        <w:rPr>
          <w:rFonts w:ascii="Calibri" w:eastAsia="Calibri" w:hAnsi="Calibri" w:cs="Calibri"/>
          <w:i/>
          <w:position w:val="1"/>
          <w:sz w:val="22"/>
          <w:szCs w:val="22"/>
        </w:rPr>
        <w:t xml:space="preserve"> </w:t>
      </w:r>
      <w:r w:rsidR="000F58F4">
        <w:rPr>
          <w:rFonts w:ascii="Calibri" w:eastAsia="Calibri" w:hAnsi="Calibri" w:cs="Calibri"/>
          <w:i/>
          <w:position w:val="1"/>
          <w:sz w:val="22"/>
          <w:szCs w:val="22"/>
        </w:rPr>
        <w:t>“mid B</w:t>
      </w:r>
      <w:r w:rsidR="000F58F4">
        <w:rPr>
          <w:rFonts w:ascii="Calibri" w:eastAsia="Calibri" w:hAnsi="Calibri" w:cs="Calibri"/>
          <w:i/>
          <w:spacing w:val="-1"/>
          <w:position w:val="1"/>
          <w:sz w:val="22"/>
          <w:szCs w:val="22"/>
        </w:rPr>
        <w:t>a</w:t>
      </w:r>
      <w:r w:rsidR="000F58F4">
        <w:rPr>
          <w:rFonts w:ascii="Calibri" w:eastAsia="Calibri" w:hAnsi="Calibri" w:cs="Calibri"/>
          <w:i/>
          <w:position w:val="1"/>
          <w:sz w:val="22"/>
          <w:szCs w:val="22"/>
        </w:rPr>
        <w:t>seli</w:t>
      </w:r>
      <w:r w:rsidR="000F58F4">
        <w:rPr>
          <w:rFonts w:ascii="Calibri" w:eastAsia="Calibri" w:hAnsi="Calibri" w:cs="Calibri"/>
          <w:i/>
          <w:spacing w:val="-1"/>
          <w:position w:val="1"/>
          <w:sz w:val="22"/>
          <w:szCs w:val="22"/>
        </w:rPr>
        <w:t>n</w:t>
      </w:r>
      <w:r w:rsidR="000F58F4">
        <w:rPr>
          <w:rFonts w:ascii="Calibri" w:eastAsia="Calibri" w:hAnsi="Calibri" w:cs="Calibri"/>
          <w:i/>
          <w:position w:val="1"/>
          <w:sz w:val="22"/>
          <w:szCs w:val="22"/>
        </w:rPr>
        <w:t>e</w:t>
      </w:r>
      <w:r w:rsidR="000F58F4">
        <w:rPr>
          <w:rFonts w:ascii="Calibri" w:eastAsia="Calibri" w:hAnsi="Calibri" w:cs="Calibri"/>
          <w:i/>
          <w:spacing w:val="-1"/>
          <w:position w:val="1"/>
          <w:sz w:val="22"/>
          <w:szCs w:val="22"/>
        </w:rPr>
        <w:t xml:space="preserve"> </w:t>
      </w:r>
      <w:r w:rsidR="000F58F4">
        <w:rPr>
          <w:rFonts w:ascii="Calibri" w:eastAsia="Calibri" w:hAnsi="Calibri" w:cs="Calibri"/>
          <w:i/>
          <w:position w:val="1"/>
          <w:sz w:val="22"/>
          <w:szCs w:val="22"/>
        </w:rPr>
        <w:t>m</w:t>
      </w:r>
      <w:r w:rsidR="000F58F4">
        <w:rPr>
          <w:rFonts w:ascii="Calibri" w:eastAsia="Calibri" w:hAnsi="Calibri" w:cs="Calibri"/>
          <w:i/>
          <w:spacing w:val="-2"/>
          <w:position w:val="1"/>
          <w:sz w:val="22"/>
          <w:szCs w:val="22"/>
        </w:rPr>
        <w:t>i</w:t>
      </w:r>
      <w:r w:rsidR="000F58F4">
        <w:rPr>
          <w:rFonts w:ascii="Calibri" w:eastAsia="Calibri" w:hAnsi="Calibri" w:cs="Calibri"/>
          <w:i/>
          <w:position w:val="1"/>
          <w:sz w:val="22"/>
          <w:szCs w:val="22"/>
        </w:rPr>
        <w:t>d</w:t>
      </w:r>
      <w:r w:rsidR="000F58F4">
        <w:rPr>
          <w:rFonts w:ascii="Calibri" w:eastAsia="Calibri" w:hAnsi="Calibri" w:cs="Calibri"/>
          <w:i/>
          <w:spacing w:val="-1"/>
          <w:position w:val="1"/>
          <w:sz w:val="22"/>
          <w:szCs w:val="22"/>
        </w:rPr>
        <w:t xml:space="preserve"> </w:t>
      </w:r>
      <w:r w:rsidR="000F58F4">
        <w:rPr>
          <w:rFonts w:ascii="Calibri" w:eastAsia="Calibri" w:hAnsi="Calibri" w:cs="Calibri"/>
          <w:i/>
          <w:position w:val="1"/>
          <w:sz w:val="22"/>
          <w:szCs w:val="22"/>
        </w:rPr>
        <w:t>A</w:t>
      </w:r>
      <w:r w:rsidR="000F58F4">
        <w:rPr>
          <w:rFonts w:ascii="Calibri" w:eastAsia="Calibri" w:hAnsi="Calibri" w:cs="Calibri"/>
          <w:i/>
          <w:spacing w:val="-1"/>
          <w:position w:val="1"/>
          <w:sz w:val="22"/>
          <w:szCs w:val="22"/>
        </w:rPr>
        <w:t>A</w:t>
      </w:r>
      <w:r w:rsidR="000F58F4">
        <w:rPr>
          <w:rFonts w:ascii="Calibri" w:eastAsia="Calibri" w:hAnsi="Calibri" w:cs="Calibri"/>
          <w:i/>
          <w:position w:val="1"/>
          <w:sz w:val="22"/>
          <w:szCs w:val="22"/>
        </w:rPr>
        <w:t xml:space="preserve">EE </w:t>
      </w:r>
      <w:r w:rsidR="000F58F4">
        <w:rPr>
          <w:rFonts w:ascii="Calibri" w:eastAsia="Calibri" w:hAnsi="Calibri" w:cs="Calibri"/>
          <w:i/>
          <w:sz w:val="22"/>
          <w:szCs w:val="22"/>
        </w:rPr>
        <w:t xml:space="preserve">mid </w:t>
      </w:r>
      <w:r w:rsidR="000F58F4">
        <w:rPr>
          <w:rFonts w:ascii="Calibri" w:eastAsia="Calibri" w:hAnsi="Calibri" w:cs="Calibri"/>
          <w:i/>
          <w:spacing w:val="-1"/>
          <w:sz w:val="22"/>
          <w:szCs w:val="22"/>
        </w:rPr>
        <w:t>A</w:t>
      </w:r>
      <w:r w:rsidR="000F58F4">
        <w:rPr>
          <w:rFonts w:ascii="Calibri" w:eastAsia="Calibri" w:hAnsi="Calibri" w:cs="Calibri"/>
          <w:i/>
          <w:sz w:val="22"/>
          <w:szCs w:val="22"/>
        </w:rPr>
        <w:t>AP</w:t>
      </w:r>
      <w:r w:rsidR="000F58F4">
        <w:rPr>
          <w:rFonts w:ascii="Calibri" w:eastAsia="Calibri" w:hAnsi="Calibri" w:cs="Calibri"/>
          <w:i/>
          <w:spacing w:val="-2"/>
          <w:sz w:val="22"/>
          <w:szCs w:val="22"/>
        </w:rPr>
        <w:t>V” forecast</w:t>
      </w:r>
      <w:r w:rsidR="00887C82">
        <w:rPr>
          <w:rFonts w:ascii="Calibri" w:eastAsia="Calibri" w:hAnsi="Calibri" w:cs="Calibri"/>
          <w:i/>
          <w:spacing w:val="-2"/>
          <w:sz w:val="22"/>
          <w:szCs w:val="22"/>
        </w:rPr>
        <w:t>,</w:t>
      </w:r>
      <w:r w:rsidR="00887C82" w:rsidRPr="00887C82">
        <w:rPr>
          <w:rFonts w:ascii="Calibri" w:eastAsia="Calibri" w:hAnsi="Calibri" w:cs="Calibri"/>
          <w:i/>
          <w:spacing w:val="2"/>
          <w:sz w:val="22"/>
          <w:szCs w:val="22"/>
        </w:rPr>
        <w:t xml:space="preserve"> </w:t>
      </w:r>
      <w:r w:rsidR="00887C82">
        <w:rPr>
          <w:rFonts w:ascii="Calibri" w:eastAsia="Calibri" w:hAnsi="Calibri" w:cs="Calibri"/>
          <w:i/>
          <w:spacing w:val="2"/>
          <w:sz w:val="22"/>
          <w:szCs w:val="22"/>
        </w:rPr>
        <w:t>unless superseded by Administrative Law Judge ruling.</w:t>
      </w:r>
    </w:p>
    <w:p w:rsidR="00AF0282" w:rsidRPr="00D6564C" w:rsidRDefault="00AF0282" w:rsidP="00AF0282">
      <w:pPr>
        <w:spacing w:after="20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b/>
          <w:i/>
          <w:sz w:val="22"/>
          <w:szCs w:val="22"/>
        </w:rPr>
        <w:t>Data Template</w:t>
      </w:r>
      <w:r w:rsidRPr="00D6564C">
        <w:rPr>
          <w:rFonts w:asciiTheme="minorHAnsi" w:eastAsiaTheme="minorHAnsi" w:hAnsiTheme="minorHAnsi" w:cstheme="minorBidi"/>
          <w:i/>
          <w:sz w:val="22"/>
          <w:szCs w:val="22"/>
        </w:rPr>
        <w:t xml:space="preserve"> – Data provided by the LSE should be reported in the “Baseline Resource Data Template” and the “New Resource Data Template” provided by the Commission. “Baseline” means existing resources and costs</w:t>
      </w:r>
      <w:r w:rsidR="001E0DB5">
        <w:rPr>
          <w:rFonts w:asciiTheme="minorHAnsi" w:eastAsiaTheme="minorHAnsi" w:hAnsiTheme="minorHAnsi" w:cstheme="minorBidi"/>
          <w:i/>
          <w:sz w:val="22"/>
          <w:szCs w:val="22"/>
        </w:rPr>
        <w:t xml:space="preserve">. </w:t>
      </w:r>
      <w:r w:rsidR="001C110E">
        <w:rPr>
          <w:rFonts w:asciiTheme="minorHAnsi" w:eastAsiaTheme="minorHAnsi" w:hAnsiTheme="minorHAnsi" w:cstheme="minorBidi"/>
          <w:i/>
          <w:sz w:val="22"/>
          <w:szCs w:val="22"/>
        </w:rPr>
        <w:t>“</w:t>
      </w:r>
      <w:r w:rsidR="001E0DB5">
        <w:rPr>
          <w:rFonts w:asciiTheme="minorHAnsi" w:eastAsiaTheme="minorHAnsi" w:hAnsiTheme="minorHAnsi" w:cstheme="minorBidi"/>
          <w:i/>
          <w:sz w:val="22"/>
          <w:szCs w:val="22"/>
        </w:rPr>
        <w:t>Existing</w:t>
      </w:r>
      <w:r w:rsidR="001C110E">
        <w:rPr>
          <w:rFonts w:asciiTheme="minorHAnsi" w:eastAsiaTheme="minorHAnsi" w:hAnsiTheme="minorHAnsi" w:cstheme="minorBidi"/>
          <w:i/>
          <w:sz w:val="22"/>
          <w:szCs w:val="22"/>
        </w:rPr>
        <w:t>”</w:t>
      </w:r>
      <w:r w:rsidR="001E0DB5">
        <w:rPr>
          <w:rFonts w:asciiTheme="minorHAnsi" w:eastAsiaTheme="minorHAnsi" w:hAnsiTheme="minorHAnsi" w:cstheme="minorBidi"/>
          <w:i/>
          <w:sz w:val="22"/>
          <w:szCs w:val="22"/>
        </w:rPr>
        <w:t xml:space="preserve"> includes</w:t>
      </w:r>
      <w:r w:rsidR="001E0DB5" w:rsidRPr="001E0DB5">
        <w:t xml:space="preserve"> </w:t>
      </w:r>
      <w:r w:rsidR="001E0DB5" w:rsidRPr="001E0DB5">
        <w:rPr>
          <w:rFonts w:asciiTheme="minorHAnsi" w:eastAsiaTheme="minorHAnsi" w:hAnsiTheme="minorHAnsi" w:cstheme="minorBidi"/>
          <w:i/>
          <w:sz w:val="22"/>
          <w:szCs w:val="22"/>
        </w:rPr>
        <w:t>resources on the 3/15/2018 NQC List, or projects not yet online but that have secured a contract and may therefore be identified in the Commission’s RPS Contracts Database or an Application filed at the Commission, as of January 1, 2018</w:t>
      </w:r>
      <w:r w:rsidRPr="00D6564C">
        <w:rPr>
          <w:rFonts w:asciiTheme="minorHAnsi" w:eastAsiaTheme="minorHAnsi" w:hAnsiTheme="minorHAnsi" w:cstheme="minorBidi"/>
          <w:i/>
          <w:sz w:val="22"/>
          <w:szCs w:val="22"/>
        </w:rPr>
        <w:t>. “New” means any new (incremental to the baseline) resources and costs associated with a particular LSE portfolio.</w:t>
      </w:r>
    </w:p>
    <w:p w:rsidR="00AF0282" w:rsidRPr="00D6564C" w:rsidRDefault="00AF0282" w:rsidP="00AF0282">
      <w:pPr>
        <w:spacing w:after="20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b/>
          <w:i/>
          <w:sz w:val="22"/>
          <w:szCs w:val="22"/>
        </w:rPr>
        <w:t>Disadvantaged Communities</w:t>
      </w:r>
      <w:r w:rsidRPr="00D6564C">
        <w:rPr>
          <w:rFonts w:asciiTheme="minorHAnsi" w:eastAsiaTheme="minorHAnsi" w:hAnsiTheme="minorHAnsi" w:cstheme="minorBidi"/>
          <w:i/>
          <w:sz w:val="22"/>
          <w:szCs w:val="22"/>
        </w:rPr>
        <w:t xml:space="preserve"> – For the purposes of IRP, </w:t>
      </w:r>
      <w:r>
        <w:rPr>
          <w:rFonts w:asciiTheme="minorHAnsi" w:eastAsiaTheme="minorHAnsi" w:hAnsiTheme="minorHAnsi" w:cstheme="minorBidi"/>
          <w:i/>
          <w:sz w:val="22"/>
          <w:szCs w:val="22"/>
        </w:rPr>
        <w:t xml:space="preserve">and consistent with the </w:t>
      </w:r>
      <w:r w:rsidRPr="00D6564C">
        <w:rPr>
          <w:rFonts w:asciiTheme="minorHAnsi" w:eastAsiaTheme="minorHAnsi" w:hAnsiTheme="minorHAnsi" w:cstheme="minorBidi"/>
          <w:i/>
          <w:sz w:val="22"/>
          <w:szCs w:val="22"/>
        </w:rPr>
        <w:t>results of the California Communities Envir</w:t>
      </w:r>
      <w:r>
        <w:rPr>
          <w:rFonts w:asciiTheme="minorHAnsi" w:eastAsiaTheme="minorHAnsi" w:hAnsiTheme="minorHAnsi" w:cstheme="minorBidi"/>
          <w:i/>
          <w:sz w:val="22"/>
          <w:szCs w:val="22"/>
        </w:rPr>
        <w:t xml:space="preserve">onmental Health Screening Tool </w:t>
      </w:r>
      <w:r w:rsidRPr="00D6564C">
        <w:rPr>
          <w:rFonts w:asciiTheme="minorHAnsi" w:eastAsiaTheme="minorHAnsi" w:hAnsiTheme="minorHAnsi" w:cstheme="minorBidi"/>
          <w:i/>
          <w:sz w:val="22"/>
          <w:szCs w:val="22"/>
        </w:rPr>
        <w:t>Version 3 (CalEnviroScreen 3.0)</w:t>
      </w:r>
      <w:r>
        <w:rPr>
          <w:rFonts w:asciiTheme="minorHAnsi" w:eastAsiaTheme="minorHAnsi" w:hAnsiTheme="minorHAnsi" w:cstheme="minorBidi"/>
          <w:i/>
          <w:sz w:val="22"/>
          <w:szCs w:val="22"/>
        </w:rPr>
        <w:t>,</w:t>
      </w:r>
      <w:r w:rsidRPr="00D6564C">
        <w:rPr>
          <w:rFonts w:asciiTheme="minorHAnsi" w:eastAsiaTheme="minorHAnsi" w:hAnsiTheme="minorHAnsi" w:cstheme="minorBidi"/>
          <w:i/>
          <w:sz w:val="22"/>
          <w:szCs w:val="22"/>
        </w:rPr>
        <w:t xml:space="preserve"> “disadvantaged communities” refer to the 25% highest scoring census tracts in the state </w:t>
      </w:r>
      <w:r>
        <w:rPr>
          <w:rFonts w:asciiTheme="minorHAnsi" w:eastAsiaTheme="minorHAnsi" w:hAnsiTheme="minorHAnsi" w:cstheme="minorBidi"/>
          <w:i/>
          <w:sz w:val="22"/>
          <w:szCs w:val="22"/>
        </w:rPr>
        <w:t xml:space="preserve">along with </w:t>
      </w:r>
      <w:r w:rsidRPr="005B0177">
        <w:rPr>
          <w:rFonts w:asciiTheme="minorHAnsi" w:eastAsiaTheme="minorHAnsi" w:hAnsiTheme="minorHAnsi" w:cstheme="minorBidi"/>
          <w:i/>
          <w:sz w:val="22"/>
          <w:szCs w:val="22"/>
        </w:rPr>
        <w:t xml:space="preserve">the 22 census tracts that score in the highest </w:t>
      </w:r>
      <w:r>
        <w:rPr>
          <w:rFonts w:asciiTheme="minorHAnsi" w:eastAsiaTheme="minorHAnsi" w:hAnsiTheme="minorHAnsi" w:cstheme="minorBidi"/>
          <w:i/>
          <w:sz w:val="22"/>
          <w:szCs w:val="22"/>
        </w:rPr>
        <w:t>5%</w:t>
      </w:r>
      <w:r w:rsidRPr="005B0177">
        <w:rPr>
          <w:rFonts w:asciiTheme="minorHAnsi" w:eastAsiaTheme="minorHAnsi" w:hAnsiTheme="minorHAnsi" w:cstheme="minorBidi"/>
          <w:i/>
          <w:sz w:val="22"/>
          <w:szCs w:val="22"/>
        </w:rPr>
        <w:t xml:space="preserve"> of </w:t>
      </w:r>
      <w:proofErr w:type="spellStart"/>
      <w:r w:rsidRPr="005B0177">
        <w:rPr>
          <w:rFonts w:asciiTheme="minorHAnsi" w:eastAsiaTheme="minorHAnsi" w:hAnsiTheme="minorHAnsi" w:cstheme="minorBidi"/>
          <w:i/>
          <w:sz w:val="22"/>
          <w:szCs w:val="22"/>
        </w:rPr>
        <w:t>CalEnviroScreen’s</w:t>
      </w:r>
      <w:proofErr w:type="spellEnd"/>
      <w:r w:rsidRPr="005B0177">
        <w:rPr>
          <w:rFonts w:asciiTheme="minorHAnsi" w:eastAsiaTheme="minorHAnsi" w:hAnsiTheme="minorHAnsi" w:cstheme="minorBidi"/>
          <w:i/>
          <w:sz w:val="22"/>
          <w:szCs w:val="22"/>
        </w:rPr>
        <w:t xml:space="preserve"> pollution burden, but</w:t>
      </w:r>
      <w:r>
        <w:rPr>
          <w:rFonts w:asciiTheme="minorHAnsi" w:eastAsiaTheme="minorHAnsi" w:hAnsiTheme="minorHAnsi" w:cstheme="minorBidi"/>
          <w:i/>
          <w:sz w:val="22"/>
          <w:szCs w:val="22"/>
        </w:rPr>
        <w:t xml:space="preserve"> which</w:t>
      </w:r>
      <w:r w:rsidRPr="005B0177">
        <w:rPr>
          <w:rFonts w:asciiTheme="minorHAnsi" w:eastAsiaTheme="minorHAnsi" w:hAnsiTheme="minorHAnsi" w:cstheme="minorBidi"/>
          <w:i/>
          <w:sz w:val="22"/>
          <w:szCs w:val="22"/>
        </w:rPr>
        <w:t xml:space="preserve"> do not have an overall CalEnviroScreen score because of unreliabl</w:t>
      </w:r>
      <w:r>
        <w:rPr>
          <w:rFonts w:asciiTheme="minorHAnsi" w:eastAsiaTheme="minorHAnsi" w:hAnsiTheme="minorHAnsi" w:cstheme="minorBidi"/>
          <w:i/>
          <w:sz w:val="22"/>
          <w:szCs w:val="22"/>
        </w:rPr>
        <w:t>e socioeconomic or health data.</w:t>
      </w:r>
    </w:p>
    <w:p w:rsidR="00AF0282" w:rsidRPr="00D6564C" w:rsidRDefault="00D334A3" w:rsidP="00AF0282">
      <w:pPr>
        <w:spacing w:after="200" w:line="276" w:lineRule="auto"/>
        <w:rPr>
          <w:rFonts w:asciiTheme="minorHAnsi" w:eastAsiaTheme="minorHAnsi" w:hAnsiTheme="minorHAnsi" w:cstheme="minorBidi"/>
          <w:i/>
          <w:sz w:val="22"/>
          <w:szCs w:val="22"/>
        </w:rPr>
      </w:pPr>
      <w:r>
        <w:rPr>
          <w:rFonts w:ascii="Calibri" w:eastAsia="Calibri" w:hAnsi="Calibri" w:cs="Calibri"/>
          <w:b/>
          <w:i/>
          <w:spacing w:val="1"/>
          <w:sz w:val="22"/>
          <w:szCs w:val="22"/>
        </w:rPr>
        <w:t>G</w:t>
      </w:r>
      <w:r>
        <w:rPr>
          <w:rFonts w:ascii="Calibri" w:eastAsia="Calibri" w:hAnsi="Calibri" w:cs="Calibri"/>
          <w:b/>
          <w:i/>
          <w:sz w:val="22"/>
          <w:szCs w:val="22"/>
        </w:rPr>
        <w:t>HG</w:t>
      </w:r>
      <w:r>
        <w:rPr>
          <w:rFonts w:ascii="Calibri" w:eastAsia="Calibri" w:hAnsi="Calibri" w:cs="Calibri"/>
          <w:b/>
          <w:i/>
          <w:spacing w:val="-1"/>
          <w:sz w:val="22"/>
          <w:szCs w:val="22"/>
        </w:rPr>
        <w:t xml:space="preserve"> </w:t>
      </w:r>
      <w:r>
        <w:rPr>
          <w:rFonts w:ascii="Calibri" w:eastAsia="Calibri" w:hAnsi="Calibri" w:cs="Calibri"/>
          <w:b/>
          <w:i/>
          <w:sz w:val="22"/>
          <w:szCs w:val="22"/>
        </w:rPr>
        <w:t>E</w:t>
      </w:r>
      <w:r>
        <w:rPr>
          <w:rFonts w:ascii="Calibri" w:eastAsia="Calibri" w:hAnsi="Calibri" w:cs="Calibri"/>
          <w:b/>
          <w:i/>
          <w:spacing w:val="-2"/>
          <w:sz w:val="22"/>
          <w:szCs w:val="22"/>
        </w:rPr>
        <w:t>m</w:t>
      </w:r>
      <w:r>
        <w:rPr>
          <w:rFonts w:ascii="Calibri" w:eastAsia="Calibri" w:hAnsi="Calibri" w:cs="Calibri"/>
          <w:b/>
          <w:i/>
          <w:spacing w:val="1"/>
          <w:sz w:val="22"/>
          <w:szCs w:val="22"/>
        </w:rPr>
        <w:t>i</w:t>
      </w:r>
      <w:r>
        <w:rPr>
          <w:rFonts w:ascii="Calibri" w:eastAsia="Calibri" w:hAnsi="Calibri" w:cs="Calibri"/>
          <w:b/>
          <w:i/>
          <w:sz w:val="22"/>
          <w:szCs w:val="22"/>
        </w:rPr>
        <w:t>s</w:t>
      </w:r>
      <w:r>
        <w:rPr>
          <w:rFonts w:ascii="Calibri" w:eastAsia="Calibri" w:hAnsi="Calibri" w:cs="Calibri"/>
          <w:b/>
          <w:i/>
          <w:spacing w:val="-1"/>
          <w:sz w:val="22"/>
          <w:szCs w:val="22"/>
        </w:rPr>
        <w:t>si</w:t>
      </w:r>
      <w:r>
        <w:rPr>
          <w:rFonts w:ascii="Calibri" w:eastAsia="Calibri" w:hAnsi="Calibri" w:cs="Calibri"/>
          <w:b/>
          <w:i/>
          <w:spacing w:val="1"/>
          <w:sz w:val="22"/>
          <w:szCs w:val="22"/>
        </w:rPr>
        <w:t>on</w:t>
      </w:r>
      <w:r>
        <w:rPr>
          <w:rFonts w:ascii="Calibri" w:eastAsia="Calibri" w:hAnsi="Calibri" w:cs="Calibri"/>
          <w:b/>
          <w:i/>
          <w:sz w:val="22"/>
          <w:szCs w:val="22"/>
        </w:rPr>
        <w:t>s</w:t>
      </w:r>
      <w:r>
        <w:rPr>
          <w:rFonts w:ascii="Calibri" w:eastAsia="Calibri" w:hAnsi="Calibri" w:cs="Calibri"/>
          <w:b/>
          <w:i/>
          <w:spacing w:val="-2"/>
          <w:sz w:val="22"/>
          <w:szCs w:val="22"/>
        </w:rPr>
        <w:t xml:space="preserve"> </w:t>
      </w:r>
      <w:r>
        <w:rPr>
          <w:rFonts w:ascii="Calibri" w:eastAsia="Calibri" w:hAnsi="Calibri" w:cs="Calibri"/>
          <w:b/>
          <w:i/>
          <w:spacing w:val="1"/>
          <w:sz w:val="22"/>
          <w:szCs w:val="22"/>
        </w:rPr>
        <w:t>B</w:t>
      </w:r>
      <w:r>
        <w:rPr>
          <w:rFonts w:ascii="Calibri" w:eastAsia="Calibri" w:hAnsi="Calibri" w:cs="Calibri"/>
          <w:b/>
          <w:i/>
          <w:spacing w:val="-3"/>
          <w:sz w:val="22"/>
          <w:szCs w:val="22"/>
        </w:rPr>
        <w:t>e</w:t>
      </w:r>
      <w:r>
        <w:rPr>
          <w:rFonts w:ascii="Calibri" w:eastAsia="Calibri" w:hAnsi="Calibri" w:cs="Calibri"/>
          <w:b/>
          <w:i/>
          <w:spacing w:val="1"/>
          <w:sz w:val="22"/>
          <w:szCs w:val="22"/>
        </w:rPr>
        <w:t>n</w:t>
      </w:r>
      <w:r>
        <w:rPr>
          <w:rFonts w:ascii="Calibri" w:eastAsia="Calibri" w:hAnsi="Calibri" w:cs="Calibri"/>
          <w:b/>
          <w:i/>
          <w:spacing w:val="-2"/>
          <w:sz w:val="22"/>
          <w:szCs w:val="22"/>
        </w:rPr>
        <w:t>c</w:t>
      </w:r>
      <w:r>
        <w:rPr>
          <w:rFonts w:ascii="Calibri" w:eastAsia="Calibri" w:hAnsi="Calibri" w:cs="Calibri"/>
          <w:b/>
          <w:i/>
          <w:spacing w:val="1"/>
          <w:sz w:val="22"/>
          <w:szCs w:val="22"/>
        </w:rPr>
        <w:t>h</w:t>
      </w:r>
      <w:r>
        <w:rPr>
          <w:rFonts w:ascii="Calibri" w:eastAsia="Calibri" w:hAnsi="Calibri" w:cs="Calibri"/>
          <w:b/>
          <w:i/>
          <w:sz w:val="22"/>
          <w:szCs w:val="22"/>
        </w:rPr>
        <w:t>m</w:t>
      </w:r>
      <w:r>
        <w:rPr>
          <w:rFonts w:ascii="Calibri" w:eastAsia="Calibri" w:hAnsi="Calibri" w:cs="Calibri"/>
          <w:b/>
          <w:i/>
          <w:spacing w:val="1"/>
          <w:sz w:val="22"/>
          <w:szCs w:val="22"/>
        </w:rPr>
        <w:t>a</w:t>
      </w:r>
      <w:r>
        <w:rPr>
          <w:rFonts w:ascii="Calibri" w:eastAsia="Calibri" w:hAnsi="Calibri" w:cs="Calibri"/>
          <w:b/>
          <w:i/>
          <w:spacing w:val="-1"/>
          <w:sz w:val="22"/>
          <w:szCs w:val="22"/>
        </w:rPr>
        <w:t>r</w:t>
      </w:r>
      <w:r>
        <w:rPr>
          <w:rFonts w:ascii="Calibri" w:eastAsia="Calibri" w:hAnsi="Calibri" w:cs="Calibri"/>
          <w:b/>
          <w:i/>
          <w:sz w:val="22"/>
          <w:szCs w:val="22"/>
        </w:rPr>
        <w:t xml:space="preserve">k </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z w:val="22"/>
          <w:szCs w:val="22"/>
        </w:rPr>
        <w:t>Ea</w:t>
      </w:r>
      <w:r>
        <w:rPr>
          <w:rFonts w:ascii="Calibri" w:eastAsia="Calibri" w:hAnsi="Calibri" w:cs="Calibri"/>
          <w:i/>
          <w:spacing w:val="-1"/>
          <w:sz w:val="22"/>
          <w:szCs w:val="22"/>
        </w:rPr>
        <w:t>c</w:t>
      </w:r>
      <w:r>
        <w:rPr>
          <w:rFonts w:ascii="Calibri" w:eastAsia="Calibri" w:hAnsi="Calibri" w:cs="Calibri"/>
          <w:i/>
          <w:sz w:val="22"/>
          <w:szCs w:val="22"/>
        </w:rPr>
        <w:t>h</w:t>
      </w:r>
      <w:r>
        <w:rPr>
          <w:rFonts w:ascii="Calibri" w:eastAsia="Calibri" w:hAnsi="Calibri" w:cs="Calibri"/>
          <w:i/>
          <w:spacing w:val="-1"/>
          <w:sz w:val="22"/>
          <w:szCs w:val="22"/>
        </w:rPr>
        <w:t xml:space="preserve"> L</w:t>
      </w:r>
      <w:r>
        <w:rPr>
          <w:rFonts w:ascii="Calibri" w:eastAsia="Calibri" w:hAnsi="Calibri" w:cs="Calibri"/>
          <w:i/>
          <w:spacing w:val="1"/>
          <w:sz w:val="22"/>
          <w:szCs w:val="22"/>
        </w:rPr>
        <w:t>S</w:t>
      </w:r>
      <w:r>
        <w:rPr>
          <w:rFonts w:ascii="Calibri" w:eastAsia="Calibri" w:hAnsi="Calibri" w:cs="Calibri"/>
          <w:i/>
          <w:sz w:val="22"/>
          <w:szCs w:val="22"/>
        </w:rPr>
        <w:t>E</w:t>
      </w:r>
      <w:r>
        <w:rPr>
          <w:rFonts w:ascii="Calibri" w:eastAsia="Calibri" w:hAnsi="Calibri" w:cs="Calibri"/>
          <w:i/>
          <w:spacing w:val="-2"/>
          <w:sz w:val="22"/>
          <w:szCs w:val="22"/>
        </w:rPr>
        <w:t xml:space="preserve"> </w:t>
      </w:r>
      <w:r>
        <w:rPr>
          <w:rFonts w:ascii="Calibri" w:eastAsia="Calibri" w:hAnsi="Calibri" w:cs="Calibri"/>
          <w:i/>
          <w:sz w:val="22"/>
          <w:szCs w:val="22"/>
        </w:rPr>
        <w:t>fil</w:t>
      </w:r>
      <w:r>
        <w:rPr>
          <w:rFonts w:ascii="Calibri" w:eastAsia="Calibri" w:hAnsi="Calibri" w:cs="Calibri"/>
          <w:i/>
          <w:spacing w:val="-1"/>
          <w:sz w:val="22"/>
          <w:szCs w:val="22"/>
        </w:rPr>
        <w:t>in</w:t>
      </w:r>
      <w:r>
        <w:rPr>
          <w:rFonts w:ascii="Calibri" w:eastAsia="Calibri" w:hAnsi="Calibri" w:cs="Calibri"/>
          <w:i/>
          <w:sz w:val="22"/>
          <w:szCs w:val="22"/>
        </w:rPr>
        <w:t>g</w:t>
      </w:r>
      <w:r>
        <w:rPr>
          <w:rFonts w:ascii="Calibri" w:eastAsia="Calibri" w:hAnsi="Calibri" w:cs="Calibri"/>
          <w:i/>
          <w:spacing w:val="-1"/>
          <w:sz w:val="22"/>
          <w:szCs w:val="22"/>
        </w:rPr>
        <w:t xml:space="preserve"> </w:t>
      </w:r>
      <w:r>
        <w:rPr>
          <w:rFonts w:ascii="Calibri" w:eastAsia="Calibri" w:hAnsi="Calibri" w:cs="Calibri"/>
          <w:i/>
          <w:sz w:val="22"/>
          <w:szCs w:val="22"/>
        </w:rPr>
        <w:t xml:space="preserve">a </w:t>
      </w:r>
      <w:r>
        <w:rPr>
          <w:rFonts w:ascii="Calibri" w:eastAsia="Calibri" w:hAnsi="Calibri" w:cs="Calibri"/>
          <w:i/>
          <w:spacing w:val="1"/>
          <w:sz w:val="22"/>
          <w:szCs w:val="22"/>
        </w:rPr>
        <w:t>S</w:t>
      </w:r>
      <w:r>
        <w:rPr>
          <w:rFonts w:ascii="Calibri" w:eastAsia="Calibri" w:hAnsi="Calibri" w:cs="Calibri"/>
          <w:i/>
          <w:sz w:val="22"/>
          <w:szCs w:val="22"/>
        </w:rPr>
        <w:t>ta</w:t>
      </w:r>
      <w:r>
        <w:rPr>
          <w:rFonts w:ascii="Calibri" w:eastAsia="Calibri" w:hAnsi="Calibri" w:cs="Calibri"/>
          <w:i/>
          <w:spacing w:val="-1"/>
          <w:sz w:val="22"/>
          <w:szCs w:val="22"/>
        </w:rPr>
        <w:t>ndar</w:t>
      </w:r>
      <w:r>
        <w:rPr>
          <w:rFonts w:ascii="Calibri" w:eastAsia="Calibri" w:hAnsi="Calibri" w:cs="Calibri"/>
          <w:i/>
          <w:sz w:val="22"/>
          <w:szCs w:val="22"/>
        </w:rPr>
        <w:t>d</w:t>
      </w:r>
      <w:r>
        <w:rPr>
          <w:rFonts w:ascii="Calibri" w:eastAsia="Calibri" w:hAnsi="Calibri" w:cs="Calibri"/>
          <w:i/>
          <w:spacing w:val="-1"/>
          <w:sz w:val="22"/>
          <w:szCs w:val="22"/>
        </w:rPr>
        <w:t xml:space="preserve"> </w:t>
      </w:r>
      <w:r>
        <w:rPr>
          <w:rFonts w:ascii="Calibri" w:eastAsia="Calibri" w:hAnsi="Calibri" w:cs="Calibri"/>
          <w:i/>
          <w:spacing w:val="1"/>
          <w:sz w:val="22"/>
          <w:szCs w:val="22"/>
        </w:rPr>
        <w:t>LS</w:t>
      </w:r>
      <w:r>
        <w:rPr>
          <w:rFonts w:ascii="Calibri" w:eastAsia="Calibri" w:hAnsi="Calibri" w:cs="Calibri"/>
          <w:i/>
          <w:sz w:val="22"/>
          <w:szCs w:val="22"/>
        </w:rPr>
        <w:t>E</w:t>
      </w:r>
      <w:r>
        <w:rPr>
          <w:rFonts w:ascii="Calibri" w:eastAsia="Calibri" w:hAnsi="Calibri" w:cs="Calibri"/>
          <w:i/>
          <w:spacing w:val="-2"/>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w:t>
      </w:r>
      <w:r>
        <w:rPr>
          <w:rFonts w:ascii="Calibri" w:eastAsia="Calibri" w:hAnsi="Calibri" w:cs="Calibri"/>
          <w:i/>
          <w:sz w:val="22"/>
          <w:szCs w:val="22"/>
        </w:rPr>
        <w:t>n</w:t>
      </w:r>
      <w:r>
        <w:rPr>
          <w:rFonts w:ascii="Calibri" w:eastAsia="Calibri" w:hAnsi="Calibri" w:cs="Calibri"/>
          <w:i/>
          <w:spacing w:val="-3"/>
          <w:sz w:val="22"/>
          <w:szCs w:val="22"/>
        </w:rPr>
        <w:t xml:space="preserve"> </w:t>
      </w:r>
      <w:r>
        <w:rPr>
          <w:rFonts w:ascii="Calibri" w:eastAsia="Calibri" w:hAnsi="Calibri" w:cs="Calibri"/>
          <w:i/>
          <w:sz w:val="22"/>
          <w:szCs w:val="22"/>
        </w:rPr>
        <w:t>must</w:t>
      </w:r>
      <w:r>
        <w:rPr>
          <w:rFonts w:ascii="Calibri" w:eastAsia="Calibri" w:hAnsi="Calibri" w:cs="Calibri"/>
          <w:i/>
          <w:spacing w:val="-1"/>
          <w:sz w:val="22"/>
          <w:szCs w:val="22"/>
        </w:rPr>
        <w:t xml:space="preserve"> </w:t>
      </w:r>
      <w:r>
        <w:rPr>
          <w:rFonts w:ascii="Calibri" w:eastAsia="Calibri" w:hAnsi="Calibri" w:cs="Calibri"/>
          <w:i/>
          <w:sz w:val="22"/>
          <w:szCs w:val="22"/>
        </w:rPr>
        <w:t>use</w:t>
      </w:r>
      <w:r>
        <w:rPr>
          <w:rFonts w:ascii="Calibri" w:eastAsia="Calibri" w:hAnsi="Calibri" w:cs="Calibri"/>
          <w:i/>
          <w:spacing w:val="1"/>
          <w:sz w:val="22"/>
          <w:szCs w:val="22"/>
        </w:rPr>
        <w:t xml:space="preserve"> </w:t>
      </w:r>
      <w:r>
        <w:rPr>
          <w:rFonts w:ascii="Calibri" w:eastAsia="Calibri" w:hAnsi="Calibri" w:cs="Calibri"/>
          <w:i/>
          <w:sz w:val="22"/>
          <w:szCs w:val="22"/>
        </w:rPr>
        <w:t>e</w:t>
      </w:r>
      <w:r>
        <w:rPr>
          <w:rFonts w:ascii="Calibri" w:eastAsia="Calibri" w:hAnsi="Calibri" w:cs="Calibri"/>
          <w:i/>
          <w:spacing w:val="-2"/>
          <w:sz w:val="22"/>
          <w:szCs w:val="22"/>
        </w:rPr>
        <w:t>i</w:t>
      </w:r>
      <w:r>
        <w:rPr>
          <w:rFonts w:ascii="Calibri" w:eastAsia="Calibri" w:hAnsi="Calibri" w:cs="Calibri"/>
          <w:i/>
          <w:sz w:val="22"/>
          <w:szCs w:val="22"/>
        </w:rPr>
        <w:t>ther</w:t>
      </w:r>
      <w:r>
        <w:rPr>
          <w:rFonts w:ascii="Calibri" w:eastAsia="Calibri" w:hAnsi="Calibri" w:cs="Calibri"/>
          <w:i/>
          <w:spacing w:val="-1"/>
          <w:sz w:val="22"/>
          <w:szCs w:val="22"/>
        </w:rPr>
        <w:t xml:space="preserve"> </w:t>
      </w:r>
      <w:r>
        <w:rPr>
          <w:rFonts w:ascii="Calibri" w:eastAsia="Calibri" w:hAnsi="Calibri" w:cs="Calibri"/>
          <w:i/>
          <w:spacing w:val="-2"/>
          <w:sz w:val="22"/>
          <w:szCs w:val="22"/>
        </w:rPr>
        <w:t>t</w:t>
      </w:r>
      <w:r>
        <w:rPr>
          <w:rFonts w:ascii="Calibri" w:eastAsia="Calibri" w:hAnsi="Calibri" w:cs="Calibri"/>
          <w:i/>
          <w:spacing w:val="-1"/>
          <w:sz w:val="22"/>
          <w:szCs w:val="22"/>
        </w:rPr>
        <w:t>h</w:t>
      </w:r>
      <w:r>
        <w:rPr>
          <w:rFonts w:ascii="Calibri" w:eastAsia="Calibri" w:hAnsi="Calibri" w:cs="Calibri"/>
          <w:i/>
          <w:sz w:val="22"/>
          <w:szCs w:val="22"/>
        </w:rPr>
        <w:t xml:space="preserve">e GHG </w:t>
      </w:r>
      <w:r>
        <w:rPr>
          <w:rFonts w:ascii="Calibri" w:eastAsia="Calibri" w:hAnsi="Calibri" w:cs="Calibri"/>
          <w:i/>
          <w:spacing w:val="-2"/>
          <w:sz w:val="22"/>
          <w:szCs w:val="22"/>
        </w:rPr>
        <w:t>E</w:t>
      </w:r>
      <w:r>
        <w:rPr>
          <w:rFonts w:ascii="Calibri" w:eastAsia="Calibri" w:hAnsi="Calibri" w:cs="Calibri"/>
          <w:i/>
          <w:sz w:val="22"/>
          <w:szCs w:val="22"/>
        </w:rPr>
        <w:t>mi</w:t>
      </w:r>
      <w:r>
        <w:rPr>
          <w:rFonts w:ascii="Calibri" w:eastAsia="Calibri" w:hAnsi="Calibri" w:cs="Calibri"/>
          <w:i/>
          <w:spacing w:val="1"/>
          <w:sz w:val="22"/>
          <w:szCs w:val="22"/>
        </w:rPr>
        <w:t>s</w:t>
      </w:r>
      <w:r>
        <w:rPr>
          <w:rFonts w:ascii="Calibri" w:eastAsia="Calibri" w:hAnsi="Calibri" w:cs="Calibri"/>
          <w:i/>
          <w:sz w:val="22"/>
          <w:szCs w:val="22"/>
        </w:rPr>
        <w:t>sio</w:t>
      </w:r>
      <w:r>
        <w:rPr>
          <w:rFonts w:ascii="Calibri" w:eastAsia="Calibri" w:hAnsi="Calibri" w:cs="Calibri"/>
          <w:i/>
          <w:spacing w:val="-1"/>
          <w:sz w:val="22"/>
          <w:szCs w:val="22"/>
        </w:rPr>
        <w:t>n</w:t>
      </w:r>
      <w:r>
        <w:rPr>
          <w:rFonts w:ascii="Calibri" w:eastAsia="Calibri" w:hAnsi="Calibri" w:cs="Calibri"/>
          <w:i/>
          <w:sz w:val="22"/>
          <w:szCs w:val="22"/>
        </w:rPr>
        <w:t>s Be</w:t>
      </w:r>
      <w:r>
        <w:rPr>
          <w:rFonts w:ascii="Calibri" w:eastAsia="Calibri" w:hAnsi="Calibri" w:cs="Calibri"/>
          <w:i/>
          <w:spacing w:val="-1"/>
          <w:sz w:val="22"/>
          <w:szCs w:val="22"/>
        </w:rPr>
        <w:t>n</w:t>
      </w:r>
      <w:r>
        <w:rPr>
          <w:rFonts w:ascii="Calibri" w:eastAsia="Calibri" w:hAnsi="Calibri" w:cs="Calibri"/>
          <w:i/>
          <w:sz w:val="22"/>
          <w:szCs w:val="22"/>
        </w:rPr>
        <w:t>c</w:t>
      </w:r>
      <w:r>
        <w:rPr>
          <w:rFonts w:ascii="Calibri" w:eastAsia="Calibri" w:hAnsi="Calibri" w:cs="Calibri"/>
          <w:i/>
          <w:spacing w:val="-1"/>
          <w:sz w:val="22"/>
          <w:szCs w:val="22"/>
        </w:rPr>
        <w:t>h</w:t>
      </w:r>
      <w:r>
        <w:rPr>
          <w:rFonts w:ascii="Calibri" w:eastAsia="Calibri" w:hAnsi="Calibri" w:cs="Calibri"/>
          <w:i/>
          <w:sz w:val="22"/>
          <w:szCs w:val="22"/>
        </w:rPr>
        <w:t>ma</w:t>
      </w:r>
      <w:r>
        <w:rPr>
          <w:rFonts w:ascii="Calibri" w:eastAsia="Calibri" w:hAnsi="Calibri" w:cs="Calibri"/>
          <w:i/>
          <w:spacing w:val="1"/>
          <w:sz w:val="22"/>
          <w:szCs w:val="22"/>
        </w:rPr>
        <w:t>r</w:t>
      </w:r>
      <w:r>
        <w:rPr>
          <w:rFonts w:ascii="Calibri" w:eastAsia="Calibri" w:hAnsi="Calibri" w:cs="Calibri"/>
          <w:i/>
          <w:sz w:val="22"/>
          <w:szCs w:val="22"/>
        </w:rPr>
        <w:t>k</w:t>
      </w:r>
      <w:r>
        <w:rPr>
          <w:rFonts w:ascii="Calibri" w:eastAsia="Calibri" w:hAnsi="Calibri" w:cs="Calibri"/>
          <w:i/>
          <w:spacing w:val="1"/>
          <w:sz w:val="22"/>
          <w:szCs w:val="22"/>
        </w:rPr>
        <w:t xml:space="preserve"> </w:t>
      </w:r>
      <w:r>
        <w:rPr>
          <w:rFonts w:ascii="Calibri" w:eastAsia="Calibri" w:hAnsi="Calibri" w:cs="Calibri"/>
          <w:i/>
          <w:spacing w:val="-3"/>
          <w:sz w:val="22"/>
          <w:szCs w:val="22"/>
        </w:rPr>
        <w:t>o</w:t>
      </w:r>
      <w:r>
        <w:rPr>
          <w:rFonts w:ascii="Calibri" w:eastAsia="Calibri" w:hAnsi="Calibri" w:cs="Calibri"/>
          <w:i/>
          <w:sz w:val="22"/>
          <w:szCs w:val="22"/>
        </w:rPr>
        <w:t>r</w:t>
      </w:r>
      <w:r>
        <w:rPr>
          <w:rFonts w:ascii="Calibri" w:eastAsia="Calibri" w:hAnsi="Calibri" w:cs="Calibri"/>
          <w:i/>
          <w:spacing w:val="1"/>
          <w:sz w:val="22"/>
          <w:szCs w:val="22"/>
        </w:rPr>
        <w:t xml:space="preserve"> </w:t>
      </w:r>
      <w:r>
        <w:rPr>
          <w:rFonts w:ascii="Calibri" w:eastAsia="Calibri" w:hAnsi="Calibri" w:cs="Calibri"/>
          <w:i/>
          <w:sz w:val="22"/>
          <w:szCs w:val="22"/>
        </w:rPr>
        <w:t>GHG</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l</w:t>
      </w:r>
      <w:r>
        <w:rPr>
          <w:rFonts w:ascii="Calibri" w:eastAsia="Calibri" w:hAnsi="Calibri" w:cs="Calibri"/>
          <w:i/>
          <w:spacing w:val="-1"/>
          <w:sz w:val="22"/>
          <w:szCs w:val="22"/>
        </w:rPr>
        <w:t>ann</w:t>
      </w:r>
      <w:r>
        <w:rPr>
          <w:rFonts w:ascii="Calibri" w:eastAsia="Calibri" w:hAnsi="Calibri" w:cs="Calibri"/>
          <w:i/>
          <w:sz w:val="22"/>
          <w:szCs w:val="22"/>
        </w:rPr>
        <w:t>i</w:t>
      </w:r>
      <w:r>
        <w:rPr>
          <w:rFonts w:ascii="Calibri" w:eastAsia="Calibri" w:hAnsi="Calibri" w:cs="Calibri"/>
          <w:i/>
          <w:spacing w:val="-3"/>
          <w:sz w:val="22"/>
          <w:szCs w:val="22"/>
        </w:rPr>
        <w:t>n</w:t>
      </w:r>
      <w:r>
        <w:rPr>
          <w:rFonts w:ascii="Calibri" w:eastAsia="Calibri" w:hAnsi="Calibri" w:cs="Calibri"/>
          <w:i/>
          <w:sz w:val="22"/>
          <w:szCs w:val="22"/>
        </w:rPr>
        <w:t>g</w:t>
      </w:r>
      <w:r>
        <w:rPr>
          <w:rFonts w:ascii="Calibri" w:eastAsia="Calibri" w:hAnsi="Calibri" w:cs="Calibri"/>
          <w:i/>
          <w:spacing w:val="-1"/>
          <w:sz w:val="22"/>
          <w:szCs w:val="22"/>
        </w:rPr>
        <w:t xml:space="preserve"> </w:t>
      </w:r>
      <w:r>
        <w:rPr>
          <w:rFonts w:ascii="Calibri" w:eastAsia="Calibri" w:hAnsi="Calibri" w:cs="Calibri"/>
          <w:i/>
          <w:spacing w:val="1"/>
          <w:sz w:val="22"/>
          <w:szCs w:val="22"/>
        </w:rPr>
        <w:t>Pr</w:t>
      </w:r>
      <w:r>
        <w:rPr>
          <w:rFonts w:ascii="Calibri" w:eastAsia="Calibri" w:hAnsi="Calibri" w:cs="Calibri"/>
          <w:i/>
          <w:sz w:val="22"/>
          <w:szCs w:val="22"/>
        </w:rPr>
        <w:t>i</w:t>
      </w:r>
      <w:r>
        <w:rPr>
          <w:rFonts w:ascii="Calibri" w:eastAsia="Calibri" w:hAnsi="Calibri" w:cs="Calibri"/>
          <w:i/>
          <w:spacing w:val="-1"/>
          <w:sz w:val="22"/>
          <w:szCs w:val="22"/>
        </w:rPr>
        <w:t>c</w:t>
      </w:r>
      <w:r>
        <w:rPr>
          <w:rFonts w:ascii="Calibri" w:eastAsia="Calibri" w:hAnsi="Calibri" w:cs="Calibri"/>
          <w:i/>
          <w:sz w:val="22"/>
          <w:szCs w:val="22"/>
        </w:rPr>
        <w:t>e</w:t>
      </w:r>
      <w:r>
        <w:rPr>
          <w:rFonts w:ascii="Calibri" w:eastAsia="Calibri" w:hAnsi="Calibri" w:cs="Calibri"/>
          <w:i/>
          <w:spacing w:val="-2"/>
          <w:sz w:val="22"/>
          <w:szCs w:val="22"/>
        </w:rPr>
        <w:t xml:space="preserve"> </w:t>
      </w:r>
      <w:r>
        <w:rPr>
          <w:rFonts w:ascii="Calibri" w:eastAsia="Calibri" w:hAnsi="Calibri" w:cs="Calibri"/>
          <w:i/>
          <w:sz w:val="22"/>
          <w:szCs w:val="22"/>
        </w:rPr>
        <w:t xml:space="preserve">in </w:t>
      </w:r>
      <w:r>
        <w:rPr>
          <w:rFonts w:ascii="Calibri" w:eastAsia="Calibri" w:hAnsi="Calibri" w:cs="Calibri"/>
          <w:i/>
          <w:spacing w:val="-1"/>
          <w:sz w:val="22"/>
          <w:szCs w:val="22"/>
        </w:rPr>
        <w:t>d</w:t>
      </w:r>
      <w:r>
        <w:rPr>
          <w:rFonts w:ascii="Calibri" w:eastAsia="Calibri" w:hAnsi="Calibri" w:cs="Calibri"/>
          <w:i/>
          <w:sz w:val="22"/>
          <w:szCs w:val="22"/>
        </w:rPr>
        <w:t>evel</w:t>
      </w:r>
      <w:r>
        <w:rPr>
          <w:rFonts w:ascii="Calibri" w:eastAsia="Calibri" w:hAnsi="Calibri" w:cs="Calibri"/>
          <w:i/>
          <w:spacing w:val="-1"/>
          <w:sz w:val="22"/>
          <w:szCs w:val="22"/>
        </w:rPr>
        <w:t>op</w:t>
      </w:r>
      <w:r>
        <w:rPr>
          <w:rFonts w:ascii="Calibri" w:eastAsia="Calibri" w:hAnsi="Calibri" w:cs="Calibri"/>
          <w:i/>
          <w:sz w:val="22"/>
          <w:szCs w:val="22"/>
        </w:rPr>
        <w:t>i</w:t>
      </w:r>
      <w:r>
        <w:rPr>
          <w:rFonts w:ascii="Calibri" w:eastAsia="Calibri" w:hAnsi="Calibri" w:cs="Calibri"/>
          <w:i/>
          <w:spacing w:val="-1"/>
          <w:sz w:val="22"/>
          <w:szCs w:val="22"/>
        </w:rPr>
        <w:t>n</w:t>
      </w:r>
      <w:r>
        <w:rPr>
          <w:rFonts w:ascii="Calibri" w:eastAsia="Calibri" w:hAnsi="Calibri" w:cs="Calibri"/>
          <w:i/>
          <w:sz w:val="22"/>
          <w:szCs w:val="22"/>
        </w:rPr>
        <w:t>g</w:t>
      </w:r>
      <w:r>
        <w:rPr>
          <w:rFonts w:ascii="Calibri" w:eastAsia="Calibri" w:hAnsi="Calibri" w:cs="Calibri"/>
          <w:i/>
          <w:spacing w:val="-1"/>
          <w:sz w:val="22"/>
          <w:szCs w:val="22"/>
        </w:rPr>
        <w:t xml:space="preserve"> </w:t>
      </w:r>
      <w:r>
        <w:rPr>
          <w:rFonts w:ascii="Calibri" w:eastAsia="Calibri" w:hAnsi="Calibri" w:cs="Calibri"/>
          <w:i/>
          <w:sz w:val="22"/>
          <w:szCs w:val="22"/>
        </w:rPr>
        <w:t>i</w:t>
      </w:r>
      <w:r>
        <w:rPr>
          <w:rFonts w:ascii="Calibri" w:eastAsia="Calibri" w:hAnsi="Calibri" w:cs="Calibri"/>
          <w:i/>
          <w:spacing w:val="-2"/>
          <w:sz w:val="22"/>
          <w:szCs w:val="22"/>
        </w:rPr>
        <w:t>t</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z w:val="22"/>
          <w:szCs w:val="22"/>
        </w:rPr>
        <w:t>C</w:t>
      </w:r>
      <w:r>
        <w:rPr>
          <w:rFonts w:ascii="Calibri" w:eastAsia="Calibri" w:hAnsi="Calibri" w:cs="Calibri"/>
          <w:i/>
          <w:spacing w:val="-3"/>
          <w:sz w:val="22"/>
          <w:szCs w:val="22"/>
        </w:rPr>
        <w:t>o</w:t>
      </w:r>
      <w:r>
        <w:rPr>
          <w:rFonts w:ascii="Calibri" w:eastAsia="Calibri" w:hAnsi="Calibri" w:cs="Calibri"/>
          <w:i/>
          <w:spacing w:val="-1"/>
          <w:sz w:val="22"/>
          <w:szCs w:val="22"/>
        </w:rPr>
        <w:t>n</w:t>
      </w:r>
      <w:r>
        <w:rPr>
          <w:rFonts w:ascii="Calibri" w:eastAsia="Calibri" w:hAnsi="Calibri" w:cs="Calibri"/>
          <w:i/>
          <w:sz w:val="22"/>
          <w:szCs w:val="22"/>
        </w:rPr>
        <w:t>for</w:t>
      </w:r>
      <w:r>
        <w:rPr>
          <w:rFonts w:ascii="Calibri" w:eastAsia="Calibri" w:hAnsi="Calibri" w:cs="Calibri"/>
          <w:i/>
          <w:spacing w:val="1"/>
          <w:sz w:val="22"/>
          <w:szCs w:val="22"/>
        </w:rPr>
        <w:t>m</w:t>
      </w:r>
      <w:r>
        <w:rPr>
          <w:rFonts w:ascii="Calibri" w:eastAsia="Calibri" w:hAnsi="Calibri" w:cs="Calibri"/>
          <w:i/>
          <w:sz w:val="22"/>
          <w:szCs w:val="22"/>
        </w:rPr>
        <w:t>i</w:t>
      </w:r>
      <w:r>
        <w:rPr>
          <w:rFonts w:ascii="Calibri" w:eastAsia="Calibri" w:hAnsi="Calibri" w:cs="Calibri"/>
          <w:i/>
          <w:spacing w:val="-1"/>
          <w:sz w:val="22"/>
          <w:szCs w:val="22"/>
        </w:rPr>
        <w:t>n</w:t>
      </w:r>
      <w:r>
        <w:rPr>
          <w:rFonts w:ascii="Calibri" w:eastAsia="Calibri" w:hAnsi="Calibri" w:cs="Calibri"/>
          <w:i/>
          <w:sz w:val="22"/>
          <w:szCs w:val="22"/>
        </w:rPr>
        <w:t>g</w:t>
      </w:r>
      <w:r>
        <w:rPr>
          <w:rFonts w:ascii="Calibri" w:eastAsia="Calibri" w:hAnsi="Calibri" w:cs="Calibri"/>
          <w:i/>
          <w:spacing w:val="-3"/>
          <w:sz w:val="22"/>
          <w:szCs w:val="22"/>
        </w:rPr>
        <w:t xml:space="preserve"> </w:t>
      </w:r>
      <w:r>
        <w:rPr>
          <w:rFonts w:ascii="Calibri" w:eastAsia="Calibri" w:hAnsi="Calibri" w:cs="Calibri"/>
          <w:i/>
          <w:spacing w:val="1"/>
          <w:sz w:val="22"/>
          <w:szCs w:val="22"/>
        </w:rPr>
        <w:t>P</w:t>
      </w:r>
      <w:r>
        <w:rPr>
          <w:rFonts w:ascii="Calibri" w:eastAsia="Calibri" w:hAnsi="Calibri" w:cs="Calibri"/>
          <w:i/>
          <w:sz w:val="22"/>
          <w:szCs w:val="22"/>
        </w:rPr>
        <w:t>or</w:t>
      </w:r>
      <w:r>
        <w:rPr>
          <w:rFonts w:ascii="Calibri" w:eastAsia="Calibri" w:hAnsi="Calibri" w:cs="Calibri"/>
          <w:i/>
          <w:spacing w:val="1"/>
          <w:sz w:val="22"/>
          <w:szCs w:val="22"/>
        </w:rPr>
        <w:t>t</w:t>
      </w:r>
      <w:r>
        <w:rPr>
          <w:rFonts w:ascii="Calibri" w:eastAsia="Calibri" w:hAnsi="Calibri" w:cs="Calibri"/>
          <w:i/>
          <w:sz w:val="22"/>
          <w:szCs w:val="22"/>
        </w:rPr>
        <w:t>fo</w:t>
      </w:r>
      <w:r>
        <w:rPr>
          <w:rFonts w:ascii="Calibri" w:eastAsia="Calibri" w:hAnsi="Calibri" w:cs="Calibri"/>
          <w:i/>
          <w:spacing w:val="-1"/>
          <w:sz w:val="22"/>
          <w:szCs w:val="22"/>
        </w:rPr>
        <w:t>l</w:t>
      </w:r>
      <w:r>
        <w:rPr>
          <w:rFonts w:ascii="Calibri" w:eastAsia="Calibri" w:hAnsi="Calibri" w:cs="Calibri"/>
          <w:i/>
          <w:sz w:val="22"/>
          <w:szCs w:val="22"/>
        </w:rPr>
        <w:t>i</w:t>
      </w:r>
      <w:r>
        <w:rPr>
          <w:rFonts w:ascii="Calibri" w:eastAsia="Calibri" w:hAnsi="Calibri" w:cs="Calibri"/>
          <w:i/>
          <w:spacing w:val="-1"/>
          <w:sz w:val="22"/>
          <w:szCs w:val="22"/>
        </w:rPr>
        <w:t>o</w:t>
      </w:r>
      <w:r>
        <w:rPr>
          <w:rFonts w:ascii="Calibri" w:eastAsia="Calibri" w:hAnsi="Calibri" w:cs="Calibri"/>
          <w:i/>
          <w:sz w:val="22"/>
          <w:szCs w:val="22"/>
        </w:rPr>
        <w:t>.</w:t>
      </w:r>
      <w:r>
        <w:rPr>
          <w:rFonts w:ascii="Calibri" w:eastAsia="Calibri" w:hAnsi="Calibri" w:cs="Calibri"/>
          <w:i/>
          <w:spacing w:val="-2"/>
          <w:sz w:val="22"/>
          <w:szCs w:val="22"/>
        </w:rPr>
        <w:t xml:space="preserve"> </w:t>
      </w:r>
      <w:r>
        <w:rPr>
          <w:rFonts w:ascii="Calibri" w:eastAsia="Calibri" w:hAnsi="Calibri" w:cs="Calibri"/>
          <w:i/>
          <w:sz w:val="22"/>
          <w:szCs w:val="22"/>
        </w:rPr>
        <w:t xml:space="preserve">The </w:t>
      </w:r>
      <w:r>
        <w:rPr>
          <w:rFonts w:ascii="Calibri" w:eastAsia="Calibri" w:hAnsi="Calibri" w:cs="Calibri"/>
          <w:i/>
          <w:spacing w:val="-1"/>
          <w:sz w:val="22"/>
          <w:szCs w:val="22"/>
        </w:rPr>
        <w:t>L</w:t>
      </w:r>
      <w:r>
        <w:rPr>
          <w:rFonts w:ascii="Calibri" w:eastAsia="Calibri" w:hAnsi="Calibri" w:cs="Calibri"/>
          <w:i/>
          <w:spacing w:val="1"/>
          <w:sz w:val="22"/>
          <w:szCs w:val="22"/>
        </w:rPr>
        <w:t>SE</w:t>
      </w:r>
      <w:r>
        <w:rPr>
          <w:rFonts w:ascii="Calibri" w:eastAsia="Calibri" w:hAnsi="Calibri" w:cs="Calibri"/>
          <w:i/>
          <w:sz w:val="22"/>
          <w:szCs w:val="22"/>
        </w:rPr>
        <w:t>-spe</w:t>
      </w:r>
      <w:r>
        <w:rPr>
          <w:rFonts w:ascii="Calibri" w:eastAsia="Calibri" w:hAnsi="Calibri" w:cs="Calibri"/>
          <w:i/>
          <w:spacing w:val="-1"/>
          <w:sz w:val="22"/>
          <w:szCs w:val="22"/>
        </w:rPr>
        <w:t>c</w:t>
      </w:r>
      <w:r>
        <w:rPr>
          <w:rFonts w:ascii="Calibri" w:eastAsia="Calibri" w:hAnsi="Calibri" w:cs="Calibri"/>
          <w:i/>
          <w:sz w:val="22"/>
          <w:szCs w:val="22"/>
        </w:rPr>
        <w:t>if</w:t>
      </w:r>
      <w:r>
        <w:rPr>
          <w:rFonts w:ascii="Calibri" w:eastAsia="Calibri" w:hAnsi="Calibri" w:cs="Calibri"/>
          <w:i/>
          <w:spacing w:val="-1"/>
          <w:sz w:val="22"/>
          <w:szCs w:val="22"/>
        </w:rPr>
        <w:t>i</w:t>
      </w:r>
      <w:r>
        <w:rPr>
          <w:rFonts w:ascii="Calibri" w:eastAsia="Calibri" w:hAnsi="Calibri" w:cs="Calibri"/>
          <w:i/>
          <w:sz w:val="22"/>
          <w:szCs w:val="22"/>
        </w:rPr>
        <w:t xml:space="preserve">c </w:t>
      </w:r>
      <w:r>
        <w:rPr>
          <w:rFonts w:ascii="Calibri" w:eastAsia="Calibri" w:hAnsi="Calibri" w:cs="Calibri"/>
          <w:i/>
          <w:spacing w:val="-1"/>
          <w:sz w:val="22"/>
          <w:szCs w:val="22"/>
        </w:rPr>
        <w:t>b</w:t>
      </w:r>
      <w:r>
        <w:rPr>
          <w:rFonts w:ascii="Calibri" w:eastAsia="Calibri" w:hAnsi="Calibri" w:cs="Calibri"/>
          <w:i/>
          <w:sz w:val="22"/>
          <w:szCs w:val="22"/>
        </w:rPr>
        <w:t>en</w:t>
      </w:r>
      <w:r>
        <w:rPr>
          <w:rFonts w:ascii="Calibri" w:eastAsia="Calibri" w:hAnsi="Calibri" w:cs="Calibri"/>
          <w:i/>
          <w:spacing w:val="-1"/>
          <w:sz w:val="22"/>
          <w:szCs w:val="22"/>
        </w:rPr>
        <w:t>ch</w:t>
      </w:r>
      <w:r>
        <w:rPr>
          <w:rFonts w:ascii="Calibri" w:eastAsia="Calibri" w:hAnsi="Calibri" w:cs="Calibri"/>
          <w:i/>
          <w:sz w:val="22"/>
          <w:szCs w:val="22"/>
        </w:rPr>
        <w:t>ma</w:t>
      </w:r>
      <w:r>
        <w:rPr>
          <w:rFonts w:ascii="Calibri" w:eastAsia="Calibri" w:hAnsi="Calibri" w:cs="Calibri"/>
          <w:i/>
          <w:spacing w:val="1"/>
          <w:sz w:val="22"/>
          <w:szCs w:val="22"/>
        </w:rPr>
        <w:t>r</w:t>
      </w:r>
      <w:r>
        <w:rPr>
          <w:rFonts w:ascii="Calibri" w:eastAsia="Calibri" w:hAnsi="Calibri" w:cs="Calibri"/>
          <w:i/>
          <w:spacing w:val="-2"/>
          <w:sz w:val="22"/>
          <w:szCs w:val="22"/>
        </w:rPr>
        <w:t>k</w:t>
      </w:r>
      <w:r>
        <w:rPr>
          <w:rFonts w:ascii="Calibri" w:eastAsia="Calibri" w:hAnsi="Calibri" w:cs="Calibri"/>
          <w:i/>
          <w:sz w:val="22"/>
          <w:szCs w:val="22"/>
        </w:rPr>
        <w:t xml:space="preserve">s </w:t>
      </w:r>
      <w:r w:rsidR="001F71BA">
        <w:rPr>
          <w:rFonts w:ascii="Calibri" w:eastAsia="Calibri" w:hAnsi="Calibri" w:cs="Calibri"/>
          <w:i/>
          <w:spacing w:val="-1"/>
          <w:sz w:val="22"/>
          <w:szCs w:val="22"/>
        </w:rPr>
        <w:t>have been</w:t>
      </w:r>
      <w:r>
        <w:rPr>
          <w:rFonts w:ascii="Calibri" w:eastAsia="Calibri" w:hAnsi="Calibri" w:cs="Calibri"/>
          <w:i/>
          <w:spacing w:val="-2"/>
          <w:sz w:val="22"/>
          <w:szCs w:val="22"/>
        </w:rPr>
        <w:t xml:space="preserve"> </w:t>
      </w:r>
      <w:r>
        <w:rPr>
          <w:rFonts w:ascii="Calibri" w:eastAsia="Calibri" w:hAnsi="Calibri" w:cs="Calibri"/>
          <w:i/>
          <w:sz w:val="22"/>
          <w:szCs w:val="22"/>
        </w:rPr>
        <w:t>p</w:t>
      </w:r>
      <w:r>
        <w:rPr>
          <w:rFonts w:ascii="Calibri" w:eastAsia="Calibri" w:hAnsi="Calibri" w:cs="Calibri"/>
          <w:i/>
          <w:spacing w:val="1"/>
          <w:sz w:val="22"/>
          <w:szCs w:val="22"/>
        </w:rPr>
        <w:t>r</w:t>
      </w:r>
      <w:r>
        <w:rPr>
          <w:rFonts w:ascii="Calibri" w:eastAsia="Calibri" w:hAnsi="Calibri" w:cs="Calibri"/>
          <w:i/>
          <w:sz w:val="22"/>
          <w:szCs w:val="22"/>
        </w:rPr>
        <w:t>ov</w:t>
      </w:r>
      <w:r>
        <w:rPr>
          <w:rFonts w:ascii="Calibri" w:eastAsia="Calibri" w:hAnsi="Calibri" w:cs="Calibri"/>
          <w:i/>
          <w:spacing w:val="-1"/>
          <w:sz w:val="22"/>
          <w:szCs w:val="22"/>
        </w:rPr>
        <w:t>id</w:t>
      </w:r>
      <w:r>
        <w:rPr>
          <w:rFonts w:ascii="Calibri" w:eastAsia="Calibri" w:hAnsi="Calibri" w:cs="Calibri"/>
          <w:i/>
          <w:sz w:val="22"/>
          <w:szCs w:val="22"/>
        </w:rPr>
        <w:t>ed in</w:t>
      </w:r>
      <w:r>
        <w:rPr>
          <w:rFonts w:ascii="Calibri" w:eastAsia="Calibri" w:hAnsi="Calibri" w:cs="Calibri"/>
          <w:i/>
          <w:spacing w:val="-1"/>
          <w:sz w:val="22"/>
          <w:szCs w:val="22"/>
        </w:rPr>
        <w:t xml:space="preserve"> </w:t>
      </w:r>
      <w:r>
        <w:rPr>
          <w:rFonts w:ascii="Calibri" w:eastAsia="Calibri" w:hAnsi="Calibri" w:cs="Calibri"/>
          <w:i/>
          <w:sz w:val="22"/>
          <w:szCs w:val="22"/>
        </w:rPr>
        <w:t>a</w:t>
      </w:r>
      <w:r w:rsidR="001F71BA">
        <w:rPr>
          <w:rFonts w:ascii="Calibri" w:eastAsia="Calibri" w:hAnsi="Calibri" w:cs="Calibri"/>
          <w:i/>
          <w:sz w:val="22"/>
          <w:szCs w:val="22"/>
        </w:rPr>
        <w:t>n</w:t>
      </w:r>
      <w:r>
        <w:rPr>
          <w:rFonts w:ascii="Calibri" w:eastAsia="Calibri" w:hAnsi="Calibri" w:cs="Calibri"/>
          <w:i/>
          <w:sz w:val="22"/>
          <w:szCs w:val="22"/>
        </w:rPr>
        <w:t xml:space="preserve"> ALJ ruling. If </w:t>
      </w:r>
      <w:r>
        <w:rPr>
          <w:rFonts w:ascii="Calibri" w:eastAsia="Calibri" w:hAnsi="Calibri" w:cs="Calibri"/>
          <w:i/>
          <w:spacing w:val="1"/>
          <w:sz w:val="22"/>
          <w:szCs w:val="22"/>
        </w:rPr>
        <w:t>t</w:t>
      </w:r>
      <w:r>
        <w:rPr>
          <w:rFonts w:ascii="Calibri" w:eastAsia="Calibri" w:hAnsi="Calibri" w:cs="Calibri"/>
          <w:i/>
          <w:spacing w:val="-1"/>
          <w:sz w:val="22"/>
          <w:szCs w:val="22"/>
        </w:rPr>
        <w:t>h</w:t>
      </w:r>
      <w:r>
        <w:rPr>
          <w:rFonts w:ascii="Calibri" w:eastAsia="Calibri" w:hAnsi="Calibri" w:cs="Calibri"/>
          <w:i/>
          <w:sz w:val="22"/>
          <w:szCs w:val="22"/>
        </w:rPr>
        <w:t>e</w:t>
      </w:r>
      <w:r>
        <w:rPr>
          <w:rFonts w:ascii="Calibri" w:eastAsia="Calibri" w:hAnsi="Calibri" w:cs="Calibri"/>
          <w:i/>
          <w:spacing w:val="-2"/>
          <w:sz w:val="22"/>
          <w:szCs w:val="22"/>
        </w:rPr>
        <w:t xml:space="preserve"> t</w:t>
      </w:r>
      <w:r>
        <w:rPr>
          <w:rFonts w:ascii="Calibri" w:eastAsia="Calibri" w:hAnsi="Calibri" w:cs="Calibri"/>
          <w:i/>
          <w:sz w:val="22"/>
          <w:szCs w:val="22"/>
        </w:rPr>
        <w:t>ot</w:t>
      </w:r>
      <w:r>
        <w:rPr>
          <w:rFonts w:ascii="Calibri" w:eastAsia="Calibri" w:hAnsi="Calibri" w:cs="Calibri"/>
          <w:i/>
          <w:spacing w:val="-1"/>
          <w:sz w:val="22"/>
          <w:szCs w:val="22"/>
        </w:rPr>
        <w:t>a</w:t>
      </w:r>
      <w:r>
        <w:rPr>
          <w:rFonts w:ascii="Calibri" w:eastAsia="Calibri" w:hAnsi="Calibri" w:cs="Calibri"/>
          <w:i/>
          <w:sz w:val="22"/>
          <w:szCs w:val="22"/>
        </w:rPr>
        <w:t>l emi</w:t>
      </w:r>
      <w:r>
        <w:rPr>
          <w:rFonts w:ascii="Calibri" w:eastAsia="Calibri" w:hAnsi="Calibri" w:cs="Calibri"/>
          <w:i/>
          <w:spacing w:val="-2"/>
          <w:sz w:val="22"/>
          <w:szCs w:val="22"/>
        </w:rPr>
        <w:t>s</w:t>
      </w:r>
      <w:r>
        <w:rPr>
          <w:rFonts w:ascii="Calibri" w:eastAsia="Calibri" w:hAnsi="Calibri" w:cs="Calibri"/>
          <w:i/>
          <w:sz w:val="22"/>
          <w:szCs w:val="22"/>
        </w:rPr>
        <w:t>sio</w:t>
      </w:r>
      <w:r>
        <w:rPr>
          <w:rFonts w:ascii="Calibri" w:eastAsia="Calibri" w:hAnsi="Calibri" w:cs="Calibri"/>
          <w:i/>
          <w:spacing w:val="-1"/>
          <w:sz w:val="22"/>
          <w:szCs w:val="22"/>
        </w:rPr>
        <w:t>n</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pacing w:val="-1"/>
          <w:sz w:val="22"/>
          <w:szCs w:val="22"/>
        </w:rPr>
        <w:t>a</w:t>
      </w:r>
      <w:r>
        <w:rPr>
          <w:rFonts w:ascii="Calibri" w:eastAsia="Calibri" w:hAnsi="Calibri" w:cs="Calibri"/>
          <w:i/>
          <w:sz w:val="22"/>
          <w:szCs w:val="22"/>
        </w:rPr>
        <w:t>t</w:t>
      </w:r>
      <w:r>
        <w:rPr>
          <w:rFonts w:ascii="Calibri" w:eastAsia="Calibri" w:hAnsi="Calibri" w:cs="Calibri"/>
          <w:i/>
          <w:spacing w:val="-2"/>
          <w:sz w:val="22"/>
          <w:szCs w:val="22"/>
        </w:rPr>
        <w:t>t</w:t>
      </w:r>
      <w:r>
        <w:rPr>
          <w:rFonts w:ascii="Calibri" w:eastAsia="Calibri" w:hAnsi="Calibri" w:cs="Calibri"/>
          <w:i/>
          <w:spacing w:val="1"/>
          <w:sz w:val="22"/>
          <w:szCs w:val="22"/>
        </w:rPr>
        <w:t>r</w:t>
      </w:r>
      <w:r>
        <w:rPr>
          <w:rFonts w:ascii="Calibri" w:eastAsia="Calibri" w:hAnsi="Calibri" w:cs="Calibri"/>
          <w:i/>
          <w:sz w:val="22"/>
          <w:szCs w:val="22"/>
        </w:rPr>
        <w:t>i</w:t>
      </w:r>
      <w:r>
        <w:rPr>
          <w:rFonts w:ascii="Calibri" w:eastAsia="Calibri" w:hAnsi="Calibri" w:cs="Calibri"/>
          <w:i/>
          <w:spacing w:val="-1"/>
          <w:sz w:val="22"/>
          <w:szCs w:val="22"/>
        </w:rPr>
        <w:t>bu</w:t>
      </w:r>
      <w:r>
        <w:rPr>
          <w:rFonts w:ascii="Calibri" w:eastAsia="Calibri" w:hAnsi="Calibri" w:cs="Calibri"/>
          <w:i/>
          <w:sz w:val="22"/>
          <w:szCs w:val="22"/>
        </w:rPr>
        <w:t>ta</w:t>
      </w:r>
      <w:r>
        <w:rPr>
          <w:rFonts w:ascii="Calibri" w:eastAsia="Calibri" w:hAnsi="Calibri" w:cs="Calibri"/>
          <w:i/>
          <w:spacing w:val="-1"/>
          <w:sz w:val="22"/>
          <w:szCs w:val="22"/>
        </w:rPr>
        <w:t>b</w:t>
      </w:r>
      <w:r>
        <w:rPr>
          <w:rFonts w:ascii="Calibri" w:eastAsia="Calibri" w:hAnsi="Calibri" w:cs="Calibri"/>
          <w:i/>
          <w:sz w:val="22"/>
          <w:szCs w:val="22"/>
        </w:rPr>
        <w:t>le</w:t>
      </w:r>
      <w:r>
        <w:rPr>
          <w:rFonts w:ascii="Calibri" w:eastAsia="Calibri" w:hAnsi="Calibri" w:cs="Calibri"/>
          <w:i/>
          <w:spacing w:val="-2"/>
          <w:sz w:val="22"/>
          <w:szCs w:val="22"/>
        </w:rPr>
        <w:t xml:space="preserve"> </w:t>
      </w:r>
      <w:r>
        <w:rPr>
          <w:rFonts w:ascii="Calibri" w:eastAsia="Calibri" w:hAnsi="Calibri" w:cs="Calibri"/>
          <w:i/>
          <w:sz w:val="22"/>
          <w:szCs w:val="22"/>
        </w:rPr>
        <w:t xml:space="preserve">to </w:t>
      </w:r>
      <w:r>
        <w:rPr>
          <w:rFonts w:ascii="Calibri" w:eastAsia="Calibri" w:hAnsi="Calibri" w:cs="Calibri"/>
          <w:i/>
          <w:spacing w:val="1"/>
          <w:sz w:val="22"/>
          <w:szCs w:val="22"/>
        </w:rPr>
        <w:t>t</w:t>
      </w:r>
      <w:r>
        <w:rPr>
          <w:rFonts w:ascii="Calibri" w:eastAsia="Calibri" w:hAnsi="Calibri" w:cs="Calibri"/>
          <w:i/>
          <w:spacing w:val="-1"/>
          <w:sz w:val="22"/>
          <w:szCs w:val="22"/>
        </w:rPr>
        <w:t>h</w:t>
      </w:r>
      <w:r>
        <w:rPr>
          <w:rFonts w:ascii="Calibri" w:eastAsia="Calibri" w:hAnsi="Calibri" w:cs="Calibri"/>
          <w:i/>
          <w:sz w:val="22"/>
          <w:szCs w:val="22"/>
        </w:rPr>
        <w:t>e</w:t>
      </w:r>
      <w:r>
        <w:rPr>
          <w:rFonts w:ascii="Calibri" w:eastAsia="Calibri" w:hAnsi="Calibri" w:cs="Calibri"/>
          <w:i/>
          <w:spacing w:val="-2"/>
          <w:sz w:val="22"/>
          <w:szCs w:val="22"/>
        </w:rPr>
        <w:t xml:space="preserve"> </w:t>
      </w:r>
      <w:r>
        <w:rPr>
          <w:rFonts w:ascii="Calibri" w:eastAsia="Calibri" w:hAnsi="Calibri" w:cs="Calibri"/>
          <w:i/>
          <w:spacing w:val="1"/>
          <w:sz w:val="22"/>
          <w:szCs w:val="22"/>
        </w:rPr>
        <w:t>LS</w:t>
      </w:r>
      <w:r>
        <w:rPr>
          <w:rFonts w:ascii="Calibri" w:eastAsia="Calibri" w:hAnsi="Calibri" w:cs="Calibri"/>
          <w:i/>
          <w:spacing w:val="-2"/>
          <w:sz w:val="22"/>
          <w:szCs w:val="22"/>
        </w:rPr>
        <w:t>E</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pacing w:val="-3"/>
          <w:sz w:val="22"/>
          <w:szCs w:val="22"/>
        </w:rPr>
        <w:t>p</w:t>
      </w:r>
      <w:r>
        <w:rPr>
          <w:rFonts w:ascii="Calibri" w:eastAsia="Calibri" w:hAnsi="Calibri" w:cs="Calibri"/>
          <w:i/>
          <w:spacing w:val="1"/>
          <w:sz w:val="22"/>
          <w:szCs w:val="22"/>
        </w:rPr>
        <w:t>r</w:t>
      </w:r>
      <w:r>
        <w:rPr>
          <w:rFonts w:ascii="Calibri" w:eastAsia="Calibri" w:hAnsi="Calibri" w:cs="Calibri"/>
          <w:i/>
          <w:sz w:val="22"/>
          <w:szCs w:val="22"/>
        </w:rPr>
        <w:t>ef</w:t>
      </w:r>
      <w:r>
        <w:rPr>
          <w:rFonts w:ascii="Calibri" w:eastAsia="Calibri" w:hAnsi="Calibri" w:cs="Calibri"/>
          <w:i/>
          <w:spacing w:val="-2"/>
          <w:sz w:val="22"/>
          <w:szCs w:val="22"/>
        </w:rPr>
        <w:t>e</w:t>
      </w:r>
      <w:r>
        <w:rPr>
          <w:rFonts w:ascii="Calibri" w:eastAsia="Calibri" w:hAnsi="Calibri" w:cs="Calibri"/>
          <w:i/>
          <w:spacing w:val="1"/>
          <w:sz w:val="22"/>
          <w:szCs w:val="22"/>
        </w:rPr>
        <w:t>rr</w:t>
      </w:r>
      <w:r>
        <w:rPr>
          <w:rFonts w:ascii="Calibri" w:eastAsia="Calibri" w:hAnsi="Calibri" w:cs="Calibri"/>
          <w:i/>
          <w:sz w:val="22"/>
          <w:szCs w:val="22"/>
        </w:rPr>
        <w:t xml:space="preserve">ed </w:t>
      </w:r>
      <w:r>
        <w:rPr>
          <w:rFonts w:ascii="Calibri" w:eastAsia="Calibri" w:hAnsi="Calibri" w:cs="Calibri"/>
          <w:i/>
          <w:spacing w:val="-1"/>
          <w:sz w:val="22"/>
          <w:szCs w:val="22"/>
        </w:rPr>
        <w:t>p</w:t>
      </w:r>
      <w:r>
        <w:rPr>
          <w:rFonts w:ascii="Calibri" w:eastAsia="Calibri" w:hAnsi="Calibri" w:cs="Calibri"/>
          <w:i/>
          <w:sz w:val="22"/>
          <w:szCs w:val="22"/>
        </w:rPr>
        <w:t>or</w:t>
      </w:r>
      <w:r>
        <w:rPr>
          <w:rFonts w:ascii="Calibri" w:eastAsia="Calibri" w:hAnsi="Calibri" w:cs="Calibri"/>
          <w:i/>
          <w:spacing w:val="1"/>
          <w:sz w:val="22"/>
          <w:szCs w:val="22"/>
        </w:rPr>
        <w:t>t</w:t>
      </w:r>
      <w:r>
        <w:rPr>
          <w:rFonts w:ascii="Calibri" w:eastAsia="Calibri" w:hAnsi="Calibri" w:cs="Calibri"/>
          <w:i/>
          <w:sz w:val="22"/>
          <w:szCs w:val="22"/>
        </w:rPr>
        <w:t>fo</w:t>
      </w:r>
      <w:r>
        <w:rPr>
          <w:rFonts w:ascii="Calibri" w:eastAsia="Calibri" w:hAnsi="Calibri" w:cs="Calibri"/>
          <w:i/>
          <w:spacing w:val="-1"/>
          <w:sz w:val="22"/>
          <w:szCs w:val="22"/>
        </w:rPr>
        <w:t>l</w:t>
      </w:r>
      <w:r>
        <w:rPr>
          <w:rFonts w:ascii="Calibri" w:eastAsia="Calibri" w:hAnsi="Calibri" w:cs="Calibri"/>
          <w:i/>
          <w:sz w:val="22"/>
          <w:szCs w:val="22"/>
        </w:rPr>
        <w:t>io</w:t>
      </w:r>
      <w:r>
        <w:rPr>
          <w:rFonts w:ascii="Calibri" w:eastAsia="Calibri" w:hAnsi="Calibri" w:cs="Calibri"/>
          <w:i/>
          <w:spacing w:val="-1"/>
          <w:sz w:val="22"/>
          <w:szCs w:val="22"/>
        </w:rPr>
        <w:t xml:space="preserve"> </w:t>
      </w:r>
      <w:r>
        <w:rPr>
          <w:rFonts w:ascii="Calibri" w:eastAsia="Calibri" w:hAnsi="Calibri" w:cs="Calibri"/>
          <w:i/>
          <w:sz w:val="22"/>
          <w:szCs w:val="22"/>
        </w:rPr>
        <w:t>e</w:t>
      </w:r>
      <w:r>
        <w:rPr>
          <w:rFonts w:ascii="Calibri" w:eastAsia="Calibri" w:hAnsi="Calibri" w:cs="Calibri"/>
          <w:i/>
          <w:spacing w:val="1"/>
          <w:sz w:val="22"/>
          <w:szCs w:val="22"/>
        </w:rPr>
        <w:t>x</w:t>
      </w:r>
      <w:r>
        <w:rPr>
          <w:rFonts w:ascii="Calibri" w:eastAsia="Calibri" w:hAnsi="Calibri" w:cs="Calibri"/>
          <w:i/>
          <w:sz w:val="22"/>
          <w:szCs w:val="22"/>
        </w:rPr>
        <w:t>c</w:t>
      </w:r>
      <w:r>
        <w:rPr>
          <w:rFonts w:ascii="Calibri" w:eastAsia="Calibri" w:hAnsi="Calibri" w:cs="Calibri"/>
          <w:i/>
          <w:spacing w:val="-3"/>
          <w:sz w:val="22"/>
          <w:szCs w:val="22"/>
        </w:rPr>
        <w:t>e</w:t>
      </w:r>
      <w:r>
        <w:rPr>
          <w:rFonts w:ascii="Calibri" w:eastAsia="Calibri" w:hAnsi="Calibri" w:cs="Calibri"/>
          <w:i/>
          <w:sz w:val="22"/>
          <w:szCs w:val="22"/>
        </w:rPr>
        <w:t>ed its</w:t>
      </w:r>
      <w:r>
        <w:rPr>
          <w:rFonts w:ascii="Calibri" w:eastAsia="Calibri" w:hAnsi="Calibri" w:cs="Calibri"/>
          <w:i/>
          <w:spacing w:val="-2"/>
          <w:sz w:val="22"/>
          <w:szCs w:val="22"/>
        </w:rPr>
        <w:t xml:space="preserve"> </w:t>
      </w:r>
      <w:r>
        <w:rPr>
          <w:rFonts w:ascii="Calibri" w:eastAsia="Calibri" w:hAnsi="Calibri" w:cs="Calibri"/>
          <w:i/>
          <w:sz w:val="22"/>
          <w:szCs w:val="22"/>
        </w:rPr>
        <w:t xml:space="preserve">GHG </w:t>
      </w:r>
      <w:r>
        <w:rPr>
          <w:rFonts w:ascii="Calibri" w:eastAsia="Calibri" w:hAnsi="Calibri" w:cs="Calibri"/>
          <w:i/>
          <w:spacing w:val="-2"/>
          <w:sz w:val="22"/>
          <w:szCs w:val="22"/>
        </w:rPr>
        <w:t>E</w:t>
      </w:r>
      <w:r>
        <w:rPr>
          <w:rFonts w:ascii="Calibri" w:eastAsia="Calibri" w:hAnsi="Calibri" w:cs="Calibri"/>
          <w:i/>
          <w:sz w:val="22"/>
          <w:szCs w:val="22"/>
        </w:rPr>
        <w:t>mi</w:t>
      </w:r>
      <w:r>
        <w:rPr>
          <w:rFonts w:ascii="Calibri" w:eastAsia="Calibri" w:hAnsi="Calibri" w:cs="Calibri"/>
          <w:i/>
          <w:spacing w:val="1"/>
          <w:sz w:val="22"/>
          <w:szCs w:val="22"/>
        </w:rPr>
        <w:t>s</w:t>
      </w:r>
      <w:r>
        <w:rPr>
          <w:rFonts w:ascii="Calibri" w:eastAsia="Calibri" w:hAnsi="Calibri" w:cs="Calibri"/>
          <w:i/>
          <w:sz w:val="22"/>
          <w:szCs w:val="22"/>
        </w:rPr>
        <w:t>sio</w:t>
      </w:r>
      <w:r>
        <w:rPr>
          <w:rFonts w:ascii="Calibri" w:eastAsia="Calibri" w:hAnsi="Calibri" w:cs="Calibri"/>
          <w:i/>
          <w:spacing w:val="-1"/>
          <w:sz w:val="22"/>
          <w:szCs w:val="22"/>
        </w:rPr>
        <w:t>n</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z w:val="22"/>
          <w:szCs w:val="22"/>
        </w:rPr>
        <w:t>Be</w:t>
      </w:r>
      <w:r>
        <w:rPr>
          <w:rFonts w:ascii="Calibri" w:eastAsia="Calibri" w:hAnsi="Calibri" w:cs="Calibri"/>
          <w:i/>
          <w:spacing w:val="-1"/>
          <w:sz w:val="22"/>
          <w:szCs w:val="22"/>
        </w:rPr>
        <w:t>n</w:t>
      </w:r>
      <w:r>
        <w:rPr>
          <w:rFonts w:ascii="Calibri" w:eastAsia="Calibri" w:hAnsi="Calibri" w:cs="Calibri"/>
          <w:i/>
          <w:sz w:val="22"/>
          <w:szCs w:val="22"/>
        </w:rPr>
        <w:t>c</w:t>
      </w:r>
      <w:r>
        <w:rPr>
          <w:rFonts w:ascii="Calibri" w:eastAsia="Calibri" w:hAnsi="Calibri" w:cs="Calibri"/>
          <w:i/>
          <w:spacing w:val="-1"/>
          <w:sz w:val="22"/>
          <w:szCs w:val="22"/>
        </w:rPr>
        <w:t>h</w:t>
      </w:r>
      <w:r>
        <w:rPr>
          <w:rFonts w:ascii="Calibri" w:eastAsia="Calibri" w:hAnsi="Calibri" w:cs="Calibri"/>
          <w:i/>
          <w:sz w:val="22"/>
          <w:szCs w:val="22"/>
        </w:rPr>
        <w:t>ma</w:t>
      </w:r>
      <w:r>
        <w:rPr>
          <w:rFonts w:ascii="Calibri" w:eastAsia="Calibri" w:hAnsi="Calibri" w:cs="Calibri"/>
          <w:i/>
          <w:spacing w:val="-2"/>
          <w:sz w:val="22"/>
          <w:szCs w:val="22"/>
        </w:rPr>
        <w:t>r</w:t>
      </w:r>
      <w:r>
        <w:rPr>
          <w:rFonts w:ascii="Calibri" w:eastAsia="Calibri" w:hAnsi="Calibri" w:cs="Calibri"/>
          <w:i/>
          <w:sz w:val="22"/>
          <w:szCs w:val="22"/>
        </w:rPr>
        <w:t>k</w:t>
      </w:r>
      <w:r>
        <w:rPr>
          <w:rFonts w:ascii="Calibri" w:eastAsia="Calibri" w:hAnsi="Calibri" w:cs="Calibri"/>
          <w:i/>
          <w:spacing w:val="1"/>
          <w:sz w:val="22"/>
          <w:szCs w:val="22"/>
        </w:rPr>
        <w:t xml:space="preserve"> </w:t>
      </w:r>
      <w:r>
        <w:rPr>
          <w:rFonts w:ascii="Calibri" w:eastAsia="Calibri" w:hAnsi="Calibri" w:cs="Calibri"/>
          <w:i/>
          <w:sz w:val="22"/>
          <w:szCs w:val="22"/>
        </w:rPr>
        <w:t>f</w:t>
      </w:r>
      <w:r>
        <w:rPr>
          <w:rFonts w:ascii="Calibri" w:eastAsia="Calibri" w:hAnsi="Calibri" w:cs="Calibri"/>
          <w:i/>
          <w:spacing w:val="-3"/>
          <w:sz w:val="22"/>
          <w:szCs w:val="22"/>
        </w:rPr>
        <w:t>o</w:t>
      </w:r>
      <w:r>
        <w:rPr>
          <w:rFonts w:ascii="Calibri" w:eastAsia="Calibri" w:hAnsi="Calibri" w:cs="Calibri"/>
          <w:i/>
          <w:sz w:val="22"/>
          <w:szCs w:val="22"/>
        </w:rPr>
        <w:t>r</w:t>
      </w:r>
      <w:r>
        <w:rPr>
          <w:rFonts w:ascii="Calibri" w:eastAsia="Calibri" w:hAnsi="Calibri" w:cs="Calibri"/>
          <w:i/>
          <w:spacing w:val="1"/>
          <w:sz w:val="22"/>
          <w:szCs w:val="22"/>
        </w:rPr>
        <w:t xml:space="preserve"> </w:t>
      </w:r>
      <w:r>
        <w:rPr>
          <w:rFonts w:ascii="Calibri" w:eastAsia="Calibri" w:hAnsi="Calibri" w:cs="Calibri"/>
          <w:i/>
          <w:spacing w:val="-1"/>
          <w:sz w:val="22"/>
          <w:szCs w:val="22"/>
        </w:rPr>
        <w:t>2</w:t>
      </w:r>
      <w:r>
        <w:rPr>
          <w:rFonts w:ascii="Calibri" w:eastAsia="Calibri" w:hAnsi="Calibri" w:cs="Calibri"/>
          <w:i/>
          <w:spacing w:val="-2"/>
          <w:sz w:val="22"/>
          <w:szCs w:val="22"/>
        </w:rPr>
        <w:t>0</w:t>
      </w:r>
      <w:r>
        <w:rPr>
          <w:rFonts w:ascii="Calibri" w:eastAsia="Calibri" w:hAnsi="Calibri" w:cs="Calibri"/>
          <w:i/>
          <w:spacing w:val="1"/>
          <w:sz w:val="22"/>
          <w:szCs w:val="22"/>
        </w:rPr>
        <w:t>30</w:t>
      </w:r>
      <w:r>
        <w:rPr>
          <w:rFonts w:ascii="Calibri" w:eastAsia="Calibri" w:hAnsi="Calibri" w:cs="Calibri"/>
          <w:i/>
          <w:sz w:val="22"/>
          <w:szCs w:val="22"/>
        </w:rPr>
        <w:t>,</w:t>
      </w:r>
      <w:r>
        <w:rPr>
          <w:rFonts w:ascii="Calibri" w:eastAsia="Calibri" w:hAnsi="Calibri" w:cs="Calibri"/>
          <w:i/>
          <w:spacing w:val="-2"/>
          <w:sz w:val="22"/>
          <w:szCs w:val="22"/>
        </w:rPr>
        <w:t xml:space="preserve"> </w:t>
      </w:r>
      <w:r>
        <w:rPr>
          <w:rFonts w:ascii="Calibri" w:eastAsia="Calibri" w:hAnsi="Calibri" w:cs="Calibri"/>
          <w:i/>
          <w:sz w:val="22"/>
          <w:szCs w:val="22"/>
        </w:rPr>
        <w:t>the</w:t>
      </w:r>
      <w:r>
        <w:rPr>
          <w:rFonts w:ascii="Calibri" w:eastAsia="Calibri" w:hAnsi="Calibri" w:cs="Calibri"/>
          <w:i/>
          <w:spacing w:val="-2"/>
          <w:sz w:val="22"/>
          <w:szCs w:val="22"/>
        </w:rPr>
        <w:t xml:space="preserve"> </w:t>
      </w:r>
      <w:r>
        <w:rPr>
          <w:rFonts w:ascii="Calibri" w:eastAsia="Calibri" w:hAnsi="Calibri" w:cs="Calibri"/>
          <w:i/>
          <w:spacing w:val="1"/>
          <w:sz w:val="22"/>
          <w:szCs w:val="22"/>
        </w:rPr>
        <w:t>LS</w:t>
      </w:r>
      <w:r>
        <w:rPr>
          <w:rFonts w:ascii="Calibri" w:eastAsia="Calibri" w:hAnsi="Calibri" w:cs="Calibri"/>
          <w:i/>
          <w:sz w:val="22"/>
          <w:szCs w:val="22"/>
        </w:rPr>
        <w:t>E</w:t>
      </w:r>
      <w:r>
        <w:rPr>
          <w:rFonts w:ascii="Calibri" w:eastAsia="Calibri" w:hAnsi="Calibri" w:cs="Calibri"/>
          <w:i/>
          <w:spacing w:val="-2"/>
          <w:sz w:val="22"/>
          <w:szCs w:val="22"/>
        </w:rPr>
        <w:t xml:space="preserve"> </w:t>
      </w:r>
      <w:r>
        <w:rPr>
          <w:rFonts w:ascii="Calibri" w:eastAsia="Calibri" w:hAnsi="Calibri" w:cs="Calibri"/>
          <w:i/>
          <w:spacing w:val="1"/>
          <w:sz w:val="22"/>
          <w:szCs w:val="22"/>
        </w:rPr>
        <w:t>m</w:t>
      </w:r>
      <w:r>
        <w:rPr>
          <w:rFonts w:ascii="Calibri" w:eastAsia="Calibri" w:hAnsi="Calibri" w:cs="Calibri"/>
          <w:i/>
          <w:spacing w:val="-1"/>
          <w:sz w:val="22"/>
          <w:szCs w:val="22"/>
        </w:rPr>
        <w:t>u</w:t>
      </w:r>
      <w:r>
        <w:rPr>
          <w:rFonts w:ascii="Calibri" w:eastAsia="Calibri" w:hAnsi="Calibri" w:cs="Calibri"/>
          <w:i/>
          <w:spacing w:val="-2"/>
          <w:sz w:val="22"/>
          <w:szCs w:val="22"/>
        </w:rPr>
        <w:t>s</w:t>
      </w:r>
      <w:r>
        <w:rPr>
          <w:rFonts w:ascii="Calibri" w:eastAsia="Calibri" w:hAnsi="Calibri" w:cs="Calibri"/>
          <w:i/>
          <w:sz w:val="22"/>
          <w:szCs w:val="22"/>
        </w:rPr>
        <w:t>t</w:t>
      </w:r>
      <w:r>
        <w:rPr>
          <w:rFonts w:ascii="Calibri" w:eastAsia="Calibri" w:hAnsi="Calibri" w:cs="Calibri"/>
          <w:i/>
          <w:spacing w:val="1"/>
          <w:sz w:val="22"/>
          <w:szCs w:val="22"/>
        </w:rPr>
        <w:t xml:space="preserve"> </w:t>
      </w:r>
      <w:r>
        <w:rPr>
          <w:rFonts w:ascii="Calibri" w:eastAsia="Calibri" w:hAnsi="Calibri" w:cs="Calibri"/>
          <w:i/>
          <w:sz w:val="22"/>
          <w:szCs w:val="22"/>
        </w:rPr>
        <w:t>expl</w:t>
      </w:r>
      <w:r>
        <w:rPr>
          <w:rFonts w:ascii="Calibri" w:eastAsia="Calibri" w:hAnsi="Calibri" w:cs="Calibri"/>
          <w:i/>
          <w:spacing w:val="-1"/>
          <w:sz w:val="22"/>
          <w:szCs w:val="22"/>
        </w:rPr>
        <w:t>a</w:t>
      </w:r>
      <w:r>
        <w:rPr>
          <w:rFonts w:ascii="Calibri" w:eastAsia="Calibri" w:hAnsi="Calibri" w:cs="Calibri"/>
          <w:i/>
          <w:sz w:val="22"/>
          <w:szCs w:val="22"/>
        </w:rPr>
        <w:t>in</w:t>
      </w:r>
      <w:r>
        <w:rPr>
          <w:rFonts w:ascii="Calibri" w:eastAsia="Calibri" w:hAnsi="Calibri" w:cs="Calibri"/>
          <w:i/>
          <w:spacing w:val="-1"/>
          <w:sz w:val="22"/>
          <w:szCs w:val="22"/>
        </w:rPr>
        <w:t xml:space="preserve"> </w:t>
      </w:r>
      <w:r>
        <w:rPr>
          <w:rFonts w:ascii="Calibri" w:eastAsia="Calibri" w:hAnsi="Calibri" w:cs="Calibri"/>
          <w:i/>
          <w:spacing w:val="1"/>
          <w:sz w:val="22"/>
          <w:szCs w:val="22"/>
        </w:rPr>
        <w:t>t</w:t>
      </w:r>
      <w:r>
        <w:rPr>
          <w:rFonts w:ascii="Calibri" w:eastAsia="Calibri" w:hAnsi="Calibri" w:cs="Calibri"/>
          <w:i/>
          <w:spacing w:val="-3"/>
          <w:sz w:val="22"/>
          <w:szCs w:val="22"/>
        </w:rPr>
        <w:t>h</w:t>
      </w:r>
      <w:r>
        <w:rPr>
          <w:rFonts w:ascii="Calibri" w:eastAsia="Calibri" w:hAnsi="Calibri" w:cs="Calibri"/>
          <w:i/>
          <w:sz w:val="22"/>
          <w:szCs w:val="22"/>
        </w:rPr>
        <w:t>e di</w:t>
      </w:r>
      <w:r>
        <w:rPr>
          <w:rFonts w:ascii="Calibri" w:eastAsia="Calibri" w:hAnsi="Calibri" w:cs="Calibri"/>
          <w:i/>
          <w:spacing w:val="-1"/>
          <w:sz w:val="22"/>
          <w:szCs w:val="22"/>
        </w:rPr>
        <w:t>f</w:t>
      </w:r>
      <w:r>
        <w:rPr>
          <w:rFonts w:ascii="Calibri" w:eastAsia="Calibri" w:hAnsi="Calibri" w:cs="Calibri"/>
          <w:i/>
          <w:sz w:val="22"/>
          <w:szCs w:val="22"/>
        </w:rPr>
        <w:t>fe</w:t>
      </w:r>
      <w:r>
        <w:rPr>
          <w:rFonts w:ascii="Calibri" w:eastAsia="Calibri" w:hAnsi="Calibri" w:cs="Calibri"/>
          <w:i/>
          <w:spacing w:val="1"/>
          <w:sz w:val="22"/>
          <w:szCs w:val="22"/>
        </w:rPr>
        <w:t>r</w:t>
      </w:r>
      <w:r>
        <w:rPr>
          <w:rFonts w:ascii="Calibri" w:eastAsia="Calibri" w:hAnsi="Calibri" w:cs="Calibri"/>
          <w:i/>
          <w:sz w:val="22"/>
          <w:szCs w:val="22"/>
        </w:rPr>
        <w:t>en</w:t>
      </w:r>
      <w:r>
        <w:rPr>
          <w:rFonts w:ascii="Calibri" w:eastAsia="Calibri" w:hAnsi="Calibri" w:cs="Calibri"/>
          <w:i/>
          <w:spacing w:val="-1"/>
          <w:sz w:val="22"/>
          <w:szCs w:val="22"/>
        </w:rPr>
        <w:t>c</w:t>
      </w:r>
      <w:r>
        <w:rPr>
          <w:rFonts w:ascii="Calibri" w:eastAsia="Calibri" w:hAnsi="Calibri" w:cs="Calibri"/>
          <w:i/>
          <w:sz w:val="22"/>
          <w:szCs w:val="22"/>
        </w:rPr>
        <w:t>e</w:t>
      </w:r>
      <w:r>
        <w:rPr>
          <w:rFonts w:ascii="Calibri" w:eastAsia="Calibri" w:hAnsi="Calibri" w:cs="Calibri"/>
          <w:i/>
          <w:spacing w:val="-2"/>
          <w:sz w:val="22"/>
          <w:szCs w:val="22"/>
        </w:rPr>
        <w:t xml:space="preserve"> </w:t>
      </w:r>
      <w:r>
        <w:rPr>
          <w:rFonts w:ascii="Calibri" w:eastAsia="Calibri" w:hAnsi="Calibri" w:cs="Calibri"/>
          <w:i/>
          <w:sz w:val="22"/>
          <w:szCs w:val="22"/>
        </w:rPr>
        <w:t>a</w:t>
      </w:r>
      <w:r>
        <w:rPr>
          <w:rFonts w:ascii="Calibri" w:eastAsia="Calibri" w:hAnsi="Calibri" w:cs="Calibri"/>
          <w:i/>
          <w:spacing w:val="-1"/>
          <w:sz w:val="22"/>
          <w:szCs w:val="22"/>
        </w:rPr>
        <w:t>n</w:t>
      </w:r>
      <w:r>
        <w:rPr>
          <w:rFonts w:ascii="Calibri" w:eastAsia="Calibri" w:hAnsi="Calibri" w:cs="Calibri"/>
          <w:i/>
          <w:sz w:val="22"/>
          <w:szCs w:val="22"/>
        </w:rPr>
        <w:t>d</w:t>
      </w:r>
      <w:r>
        <w:rPr>
          <w:rFonts w:ascii="Calibri" w:eastAsia="Calibri" w:hAnsi="Calibri" w:cs="Calibri"/>
          <w:i/>
          <w:spacing w:val="-1"/>
          <w:sz w:val="22"/>
          <w:szCs w:val="22"/>
        </w:rPr>
        <w:t xml:space="preserve"> </w:t>
      </w:r>
      <w:r>
        <w:rPr>
          <w:rFonts w:ascii="Calibri" w:eastAsia="Calibri" w:hAnsi="Calibri" w:cs="Calibri"/>
          <w:i/>
          <w:sz w:val="22"/>
          <w:szCs w:val="22"/>
        </w:rPr>
        <w:t>desc</w:t>
      </w:r>
      <w:r>
        <w:rPr>
          <w:rFonts w:ascii="Calibri" w:eastAsia="Calibri" w:hAnsi="Calibri" w:cs="Calibri"/>
          <w:i/>
          <w:spacing w:val="1"/>
          <w:sz w:val="22"/>
          <w:szCs w:val="22"/>
        </w:rPr>
        <w:t>r</w:t>
      </w:r>
      <w:r>
        <w:rPr>
          <w:rFonts w:ascii="Calibri" w:eastAsia="Calibri" w:hAnsi="Calibri" w:cs="Calibri"/>
          <w:i/>
          <w:sz w:val="22"/>
          <w:szCs w:val="22"/>
        </w:rPr>
        <w:t>i</w:t>
      </w:r>
      <w:r>
        <w:rPr>
          <w:rFonts w:ascii="Calibri" w:eastAsia="Calibri" w:hAnsi="Calibri" w:cs="Calibri"/>
          <w:i/>
          <w:spacing w:val="-1"/>
          <w:sz w:val="22"/>
          <w:szCs w:val="22"/>
        </w:rPr>
        <w:t>b</w:t>
      </w:r>
      <w:r>
        <w:rPr>
          <w:rFonts w:ascii="Calibri" w:eastAsia="Calibri" w:hAnsi="Calibri" w:cs="Calibri"/>
          <w:i/>
          <w:sz w:val="22"/>
          <w:szCs w:val="22"/>
        </w:rPr>
        <w:t xml:space="preserve">e </w:t>
      </w:r>
      <w:r>
        <w:rPr>
          <w:rFonts w:ascii="Calibri" w:eastAsia="Calibri" w:hAnsi="Calibri" w:cs="Calibri"/>
          <w:i/>
          <w:spacing w:val="-1"/>
          <w:sz w:val="22"/>
          <w:szCs w:val="22"/>
        </w:rPr>
        <w:t>add</w:t>
      </w:r>
      <w:r>
        <w:rPr>
          <w:rFonts w:ascii="Calibri" w:eastAsia="Calibri" w:hAnsi="Calibri" w:cs="Calibri"/>
          <w:i/>
          <w:sz w:val="22"/>
          <w:szCs w:val="22"/>
        </w:rPr>
        <w:t>iti</w:t>
      </w:r>
      <w:r>
        <w:rPr>
          <w:rFonts w:ascii="Calibri" w:eastAsia="Calibri" w:hAnsi="Calibri" w:cs="Calibri"/>
          <w:i/>
          <w:spacing w:val="-1"/>
          <w:sz w:val="22"/>
          <w:szCs w:val="22"/>
        </w:rPr>
        <w:t>ona</w:t>
      </w:r>
      <w:r>
        <w:rPr>
          <w:rFonts w:ascii="Calibri" w:eastAsia="Calibri" w:hAnsi="Calibri" w:cs="Calibri"/>
          <w:i/>
          <w:sz w:val="22"/>
          <w:szCs w:val="22"/>
        </w:rPr>
        <w:t>l meas</w:t>
      </w:r>
      <w:r>
        <w:rPr>
          <w:rFonts w:ascii="Calibri" w:eastAsia="Calibri" w:hAnsi="Calibri" w:cs="Calibri"/>
          <w:i/>
          <w:spacing w:val="-1"/>
          <w:sz w:val="22"/>
          <w:szCs w:val="22"/>
        </w:rPr>
        <w:t>u</w:t>
      </w:r>
      <w:r>
        <w:rPr>
          <w:rFonts w:ascii="Calibri" w:eastAsia="Calibri" w:hAnsi="Calibri" w:cs="Calibri"/>
          <w:i/>
          <w:spacing w:val="1"/>
          <w:sz w:val="22"/>
          <w:szCs w:val="22"/>
        </w:rPr>
        <w:t>r</w:t>
      </w:r>
      <w:r>
        <w:rPr>
          <w:rFonts w:ascii="Calibri" w:eastAsia="Calibri" w:hAnsi="Calibri" w:cs="Calibri"/>
          <w:i/>
          <w:spacing w:val="-2"/>
          <w:sz w:val="22"/>
          <w:szCs w:val="22"/>
        </w:rPr>
        <w:t>e</w:t>
      </w:r>
      <w:r>
        <w:rPr>
          <w:rFonts w:ascii="Calibri" w:eastAsia="Calibri" w:hAnsi="Calibri" w:cs="Calibri"/>
          <w:i/>
          <w:sz w:val="22"/>
          <w:szCs w:val="22"/>
        </w:rPr>
        <w:t>s</w:t>
      </w:r>
      <w:r>
        <w:rPr>
          <w:rFonts w:ascii="Calibri" w:eastAsia="Calibri" w:hAnsi="Calibri" w:cs="Calibri"/>
          <w:i/>
          <w:spacing w:val="1"/>
          <w:sz w:val="22"/>
          <w:szCs w:val="22"/>
        </w:rPr>
        <w:t xml:space="preserve"> </w:t>
      </w:r>
      <w:r>
        <w:rPr>
          <w:rFonts w:ascii="Calibri" w:eastAsia="Calibri" w:hAnsi="Calibri" w:cs="Calibri"/>
          <w:i/>
          <w:sz w:val="22"/>
          <w:szCs w:val="22"/>
        </w:rPr>
        <w:t>it</w:t>
      </w:r>
      <w:r>
        <w:rPr>
          <w:rFonts w:ascii="Calibri" w:eastAsia="Calibri" w:hAnsi="Calibri" w:cs="Calibri"/>
          <w:i/>
          <w:spacing w:val="-1"/>
          <w:sz w:val="22"/>
          <w:szCs w:val="22"/>
        </w:rPr>
        <w:t xml:space="preserve"> </w:t>
      </w:r>
      <w:r>
        <w:rPr>
          <w:rFonts w:ascii="Calibri" w:eastAsia="Calibri" w:hAnsi="Calibri" w:cs="Calibri"/>
          <w:i/>
          <w:sz w:val="22"/>
          <w:szCs w:val="22"/>
        </w:rPr>
        <w:t>wo</w:t>
      </w:r>
      <w:r>
        <w:rPr>
          <w:rFonts w:ascii="Calibri" w:eastAsia="Calibri" w:hAnsi="Calibri" w:cs="Calibri"/>
          <w:i/>
          <w:spacing w:val="-3"/>
          <w:sz w:val="22"/>
          <w:szCs w:val="22"/>
        </w:rPr>
        <w:t>u</w:t>
      </w:r>
      <w:r>
        <w:rPr>
          <w:rFonts w:ascii="Calibri" w:eastAsia="Calibri" w:hAnsi="Calibri" w:cs="Calibri"/>
          <w:i/>
          <w:sz w:val="22"/>
          <w:szCs w:val="22"/>
        </w:rPr>
        <w:t>ld</w:t>
      </w:r>
      <w:r>
        <w:rPr>
          <w:rFonts w:ascii="Calibri" w:eastAsia="Calibri" w:hAnsi="Calibri" w:cs="Calibri"/>
          <w:i/>
          <w:spacing w:val="-1"/>
          <w:sz w:val="22"/>
          <w:szCs w:val="22"/>
        </w:rPr>
        <w:t xml:space="preserve"> </w:t>
      </w:r>
      <w:r>
        <w:rPr>
          <w:rFonts w:ascii="Calibri" w:eastAsia="Calibri" w:hAnsi="Calibri" w:cs="Calibri"/>
          <w:i/>
          <w:spacing w:val="1"/>
          <w:sz w:val="22"/>
          <w:szCs w:val="22"/>
        </w:rPr>
        <w:t>t</w:t>
      </w:r>
      <w:r>
        <w:rPr>
          <w:rFonts w:ascii="Calibri" w:eastAsia="Calibri" w:hAnsi="Calibri" w:cs="Calibri"/>
          <w:i/>
          <w:spacing w:val="-1"/>
          <w:sz w:val="22"/>
          <w:szCs w:val="22"/>
        </w:rPr>
        <w:t>a</w:t>
      </w:r>
      <w:r>
        <w:rPr>
          <w:rFonts w:ascii="Calibri" w:eastAsia="Calibri" w:hAnsi="Calibri" w:cs="Calibri"/>
          <w:i/>
          <w:sz w:val="22"/>
          <w:szCs w:val="22"/>
        </w:rPr>
        <w:t>ke</w:t>
      </w:r>
      <w:r>
        <w:rPr>
          <w:rFonts w:ascii="Calibri" w:eastAsia="Calibri" w:hAnsi="Calibri" w:cs="Calibri"/>
          <w:i/>
          <w:spacing w:val="1"/>
          <w:sz w:val="22"/>
          <w:szCs w:val="22"/>
        </w:rPr>
        <w:t xml:space="preserve"> </w:t>
      </w:r>
      <w:r>
        <w:rPr>
          <w:rFonts w:ascii="Calibri" w:eastAsia="Calibri" w:hAnsi="Calibri" w:cs="Calibri"/>
          <w:i/>
          <w:sz w:val="22"/>
          <w:szCs w:val="22"/>
        </w:rPr>
        <w:t>ov</w:t>
      </w:r>
      <w:r>
        <w:rPr>
          <w:rFonts w:ascii="Calibri" w:eastAsia="Calibri" w:hAnsi="Calibri" w:cs="Calibri"/>
          <w:i/>
          <w:spacing w:val="-3"/>
          <w:sz w:val="22"/>
          <w:szCs w:val="22"/>
        </w:rPr>
        <w:t>e</w:t>
      </w:r>
      <w:r>
        <w:rPr>
          <w:rFonts w:ascii="Calibri" w:eastAsia="Calibri" w:hAnsi="Calibri" w:cs="Calibri"/>
          <w:i/>
          <w:sz w:val="22"/>
          <w:szCs w:val="22"/>
        </w:rPr>
        <w:t>r</w:t>
      </w:r>
      <w:r>
        <w:rPr>
          <w:rFonts w:ascii="Calibri" w:eastAsia="Calibri" w:hAnsi="Calibri" w:cs="Calibri"/>
          <w:i/>
          <w:spacing w:val="-1"/>
          <w:sz w:val="22"/>
          <w:szCs w:val="22"/>
        </w:rPr>
        <w:t xml:space="preserve"> </w:t>
      </w:r>
      <w:r>
        <w:rPr>
          <w:rFonts w:ascii="Calibri" w:eastAsia="Calibri" w:hAnsi="Calibri" w:cs="Calibri"/>
          <w:i/>
          <w:sz w:val="22"/>
          <w:szCs w:val="22"/>
        </w:rPr>
        <w:t>the fo</w:t>
      </w:r>
      <w:r>
        <w:rPr>
          <w:rFonts w:ascii="Calibri" w:eastAsia="Calibri" w:hAnsi="Calibri" w:cs="Calibri"/>
          <w:i/>
          <w:spacing w:val="-1"/>
          <w:sz w:val="22"/>
          <w:szCs w:val="22"/>
        </w:rPr>
        <w:t>l</w:t>
      </w:r>
      <w:r>
        <w:rPr>
          <w:rFonts w:ascii="Calibri" w:eastAsia="Calibri" w:hAnsi="Calibri" w:cs="Calibri"/>
          <w:i/>
          <w:sz w:val="22"/>
          <w:szCs w:val="22"/>
        </w:rPr>
        <w:t>l</w:t>
      </w:r>
      <w:r>
        <w:rPr>
          <w:rFonts w:ascii="Calibri" w:eastAsia="Calibri" w:hAnsi="Calibri" w:cs="Calibri"/>
          <w:i/>
          <w:spacing w:val="-1"/>
          <w:sz w:val="22"/>
          <w:szCs w:val="22"/>
        </w:rPr>
        <w:t>o</w:t>
      </w:r>
      <w:r>
        <w:rPr>
          <w:rFonts w:ascii="Calibri" w:eastAsia="Calibri" w:hAnsi="Calibri" w:cs="Calibri"/>
          <w:i/>
          <w:sz w:val="22"/>
          <w:szCs w:val="22"/>
        </w:rPr>
        <w:t>wing</w:t>
      </w:r>
      <w:r>
        <w:rPr>
          <w:rFonts w:ascii="Calibri" w:eastAsia="Calibri" w:hAnsi="Calibri" w:cs="Calibri"/>
          <w:i/>
          <w:spacing w:val="-3"/>
          <w:sz w:val="22"/>
          <w:szCs w:val="22"/>
        </w:rPr>
        <w:t xml:space="preserve"> </w:t>
      </w:r>
      <w:r>
        <w:rPr>
          <w:rFonts w:ascii="Calibri" w:eastAsia="Calibri" w:hAnsi="Calibri" w:cs="Calibri"/>
          <w:i/>
          <w:sz w:val="22"/>
          <w:szCs w:val="22"/>
        </w:rPr>
        <w:t>1</w:t>
      </w:r>
      <w:r>
        <w:rPr>
          <w:rFonts w:ascii="Calibri" w:eastAsia="Calibri" w:hAnsi="Calibri" w:cs="Calibri"/>
          <w:i/>
          <w:spacing w:val="1"/>
          <w:sz w:val="22"/>
          <w:szCs w:val="22"/>
        </w:rPr>
        <w:t xml:space="preserve"> </w:t>
      </w:r>
      <w:r>
        <w:rPr>
          <w:rFonts w:ascii="Calibri" w:eastAsia="Calibri" w:hAnsi="Calibri" w:cs="Calibri"/>
          <w:i/>
          <w:sz w:val="22"/>
          <w:szCs w:val="22"/>
        </w:rPr>
        <w:t>-</w:t>
      </w:r>
      <w:r>
        <w:rPr>
          <w:rFonts w:ascii="Calibri" w:eastAsia="Calibri" w:hAnsi="Calibri" w:cs="Calibri"/>
          <w:i/>
          <w:spacing w:val="1"/>
          <w:sz w:val="22"/>
          <w:szCs w:val="22"/>
        </w:rPr>
        <w:t xml:space="preserve"> </w:t>
      </w:r>
      <w:r>
        <w:rPr>
          <w:rFonts w:ascii="Calibri" w:eastAsia="Calibri" w:hAnsi="Calibri" w:cs="Calibri"/>
          <w:i/>
          <w:sz w:val="22"/>
          <w:szCs w:val="22"/>
        </w:rPr>
        <w:t>3</w:t>
      </w:r>
      <w:r>
        <w:rPr>
          <w:rFonts w:ascii="Calibri" w:eastAsia="Calibri" w:hAnsi="Calibri" w:cs="Calibri"/>
          <w:i/>
          <w:spacing w:val="1"/>
          <w:sz w:val="22"/>
          <w:szCs w:val="22"/>
        </w:rPr>
        <w:t xml:space="preserve"> </w:t>
      </w:r>
      <w:r>
        <w:rPr>
          <w:rFonts w:ascii="Calibri" w:eastAsia="Calibri" w:hAnsi="Calibri" w:cs="Calibri"/>
          <w:i/>
          <w:spacing w:val="-2"/>
          <w:sz w:val="22"/>
          <w:szCs w:val="22"/>
        </w:rPr>
        <w:t>y</w:t>
      </w:r>
      <w:r>
        <w:rPr>
          <w:rFonts w:ascii="Calibri" w:eastAsia="Calibri" w:hAnsi="Calibri" w:cs="Calibri"/>
          <w:i/>
          <w:sz w:val="22"/>
          <w:szCs w:val="22"/>
        </w:rPr>
        <w:t>ears</w:t>
      </w:r>
      <w:r>
        <w:rPr>
          <w:rFonts w:ascii="Calibri" w:eastAsia="Calibri" w:hAnsi="Calibri" w:cs="Calibri"/>
          <w:i/>
          <w:spacing w:val="-1"/>
          <w:sz w:val="22"/>
          <w:szCs w:val="22"/>
        </w:rPr>
        <w:t xml:space="preserve"> </w:t>
      </w:r>
      <w:r>
        <w:rPr>
          <w:rFonts w:ascii="Calibri" w:eastAsia="Calibri" w:hAnsi="Calibri" w:cs="Calibri"/>
          <w:i/>
          <w:spacing w:val="1"/>
          <w:sz w:val="22"/>
          <w:szCs w:val="22"/>
        </w:rPr>
        <w:t>t</w:t>
      </w:r>
      <w:r>
        <w:rPr>
          <w:rFonts w:ascii="Calibri" w:eastAsia="Calibri" w:hAnsi="Calibri" w:cs="Calibri"/>
          <w:i/>
          <w:sz w:val="22"/>
          <w:szCs w:val="22"/>
        </w:rPr>
        <w:t>o c</w:t>
      </w:r>
      <w:r>
        <w:rPr>
          <w:rFonts w:ascii="Calibri" w:eastAsia="Calibri" w:hAnsi="Calibri" w:cs="Calibri"/>
          <w:i/>
          <w:spacing w:val="-1"/>
          <w:sz w:val="22"/>
          <w:szCs w:val="22"/>
        </w:rPr>
        <w:t>l</w:t>
      </w:r>
      <w:r>
        <w:rPr>
          <w:rFonts w:ascii="Calibri" w:eastAsia="Calibri" w:hAnsi="Calibri" w:cs="Calibri"/>
          <w:i/>
          <w:sz w:val="22"/>
          <w:szCs w:val="22"/>
        </w:rPr>
        <w:t>ose</w:t>
      </w:r>
      <w:r>
        <w:rPr>
          <w:rFonts w:ascii="Calibri" w:eastAsia="Calibri" w:hAnsi="Calibri" w:cs="Calibri"/>
          <w:i/>
          <w:spacing w:val="-2"/>
          <w:sz w:val="22"/>
          <w:szCs w:val="22"/>
        </w:rPr>
        <w:t xml:space="preserve"> </w:t>
      </w:r>
      <w:r>
        <w:rPr>
          <w:rFonts w:ascii="Calibri" w:eastAsia="Calibri" w:hAnsi="Calibri" w:cs="Calibri"/>
          <w:i/>
          <w:spacing w:val="1"/>
          <w:sz w:val="22"/>
          <w:szCs w:val="22"/>
        </w:rPr>
        <w:t>t</w:t>
      </w:r>
      <w:r>
        <w:rPr>
          <w:rFonts w:ascii="Calibri" w:eastAsia="Calibri" w:hAnsi="Calibri" w:cs="Calibri"/>
          <w:i/>
          <w:spacing w:val="-1"/>
          <w:sz w:val="22"/>
          <w:szCs w:val="22"/>
        </w:rPr>
        <w:t>h</w:t>
      </w:r>
      <w:r>
        <w:rPr>
          <w:rFonts w:ascii="Calibri" w:eastAsia="Calibri" w:hAnsi="Calibri" w:cs="Calibri"/>
          <w:i/>
          <w:sz w:val="22"/>
          <w:szCs w:val="22"/>
        </w:rPr>
        <w:t>e g</w:t>
      </w:r>
      <w:r>
        <w:rPr>
          <w:rFonts w:ascii="Calibri" w:eastAsia="Calibri" w:hAnsi="Calibri" w:cs="Calibri"/>
          <w:i/>
          <w:spacing w:val="-1"/>
          <w:sz w:val="22"/>
          <w:szCs w:val="22"/>
        </w:rPr>
        <w:t>ap</w:t>
      </w:r>
      <w:r>
        <w:rPr>
          <w:rFonts w:ascii="Calibri" w:eastAsia="Calibri" w:hAnsi="Calibri" w:cs="Calibri"/>
          <w:i/>
          <w:sz w:val="22"/>
          <w:szCs w:val="22"/>
        </w:rPr>
        <w:t>,</w:t>
      </w:r>
      <w:r>
        <w:rPr>
          <w:rFonts w:ascii="Calibri" w:eastAsia="Calibri" w:hAnsi="Calibri" w:cs="Calibri"/>
          <w:i/>
          <w:spacing w:val="-2"/>
          <w:sz w:val="22"/>
          <w:szCs w:val="22"/>
        </w:rPr>
        <w:t xml:space="preserve"> </w:t>
      </w:r>
      <w:r>
        <w:rPr>
          <w:rFonts w:ascii="Calibri" w:eastAsia="Calibri" w:hAnsi="Calibri" w:cs="Calibri"/>
          <w:i/>
          <w:spacing w:val="-1"/>
          <w:sz w:val="22"/>
          <w:szCs w:val="22"/>
        </w:rPr>
        <w:t>a</w:t>
      </w:r>
      <w:r>
        <w:rPr>
          <w:rFonts w:ascii="Calibri" w:eastAsia="Calibri" w:hAnsi="Calibri" w:cs="Calibri"/>
          <w:i/>
          <w:sz w:val="22"/>
          <w:szCs w:val="22"/>
        </w:rPr>
        <w:t>l</w:t>
      </w:r>
      <w:r>
        <w:rPr>
          <w:rFonts w:ascii="Calibri" w:eastAsia="Calibri" w:hAnsi="Calibri" w:cs="Calibri"/>
          <w:i/>
          <w:spacing w:val="-1"/>
          <w:sz w:val="22"/>
          <w:szCs w:val="22"/>
        </w:rPr>
        <w:t>on</w:t>
      </w:r>
      <w:r>
        <w:rPr>
          <w:rFonts w:ascii="Calibri" w:eastAsia="Calibri" w:hAnsi="Calibri" w:cs="Calibri"/>
          <w:i/>
          <w:sz w:val="22"/>
          <w:szCs w:val="22"/>
        </w:rPr>
        <w:t>g</w:t>
      </w:r>
      <w:r>
        <w:rPr>
          <w:rFonts w:ascii="Calibri" w:eastAsia="Calibri" w:hAnsi="Calibri" w:cs="Calibri"/>
          <w:i/>
          <w:spacing w:val="-1"/>
          <w:sz w:val="22"/>
          <w:szCs w:val="22"/>
        </w:rPr>
        <w:t xml:space="preserve"> </w:t>
      </w:r>
      <w:r>
        <w:rPr>
          <w:rFonts w:ascii="Calibri" w:eastAsia="Calibri" w:hAnsi="Calibri" w:cs="Calibri"/>
          <w:i/>
          <w:spacing w:val="1"/>
          <w:sz w:val="22"/>
          <w:szCs w:val="22"/>
        </w:rPr>
        <w:t>w</w:t>
      </w:r>
      <w:r>
        <w:rPr>
          <w:rFonts w:ascii="Calibri" w:eastAsia="Calibri" w:hAnsi="Calibri" w:cs="Calibri"/>
          <w:i/>
          <w:sz w:val="22"/>
          <w:szCs w:val="22"/>
        </w:rPr>
        <w:t>ith the c</w:t>
      </w:r>
      <w:r>
        <w:rPr>
          <w:rFonts w:ascii="Calibri" w:eastAsia="Calibri" w:hAnsi="Calibri" w:cs="Calibri"/>
          <w:i/>
          <w:spacing w:val="-1"/>
          <w:sz w:val="22"/>
          <w:szCs w:val="22"/>
        </w:rPr>
        <w:t>o</w:t>
      </w:r>
      <w:r>
        <w:rPr>
          <w:rFonts w:ascii="Calibri" w:eastAsia="Calibri" w:hAnsi="Calibri" w:cs="Calibri"/>
          <w:i/>
          <w:spacing w:val="-2"/>
          <w:sz w:val="22"/>
          <w:szCs w:val="22"/>
        </w:rPr>
        <w:t>s</w:t>
      </w:r>
      <w:r>
        <w:rPr>
          <w:rFonts w:ascii="Calibri" w:eastAsia="Calibri" w:hAnsi="Calibri" w:cs="Calibri"/>
          <w:i/>
          <w:sz w:val="22"/>
          <w:szCs w:val="22"/>
        </w:rPr>
        <w:t>t</w:t>
      </w:r>
      <w:r>
        <w:rPr>
          <w:rFonts w:ascii="Calibri" w:eastAsia="Calibri" w:hAnsi="Calibri" w:cs="Calibri"/>
          <w:i/>
          <w:spacing w:val="1"/>
          <w:sz w:val="22"/>
          <w:szCs w:val="22"/>
        </w:rPr>
        <w:t xml:space="preserve"> </w:t>
      </w:r>
      <w:r>
        <w:rPr>
          <w:rFonts w:ascii="Calibri" w:eastAsia="Calibri" w:hAnsi="Calibri" w:cs="Calibri"/>
          <w:i/>
          <w:sz w:val="22"/>
          <w:szCs w:val="22"/>
        </w:rPr>
        <w:t>of th</w:t>
      </w:r>
      <w:r>
        <w:rPr>
          <w:rFonts w:ascii="Calibri" w:eastAsia="Calibri" w:hAnsi="Calibri" w:cs="Calibri"/>
          <w:i/>
          <w:spacing w:val="-1"/>
          <w:sz w:val="22"/>
          <w:szCs w:val="22"/>
        </w:rPr>
        <w:t>o</w:t>
      </w:r>
      <w:r>
        <w:rPr>
          <w:rFonts w:ascii="Calibri" w:eastAsia="Calibri" w:hAnsi="Calibri" w:cs="Calibri"/>
          <w:i/>
          <w:sz w:val="22"/>
          <w:szCs w:val="22"/>
        </w:rPr>
        <w:t>se</w:t>
      </w:r>
      <w:r>
        <w:rPr>
          <w:rFonts w:ascii="Calibri" w:eastAsia="Calibri" w:hAnsi="Calibri" w:cs="Calibri"/>
          <w:i/>
          <w:spacing w:val="1"/>
          <w:sz w:val="22"/>
          <w:szCs w:val="22"/>
        </w:rPr>
        <w:t xml:space="preserve"> </w:t>
      </w:r>
      <w:r>
        <w:rPr>
          <w:rFonts w:ascii="Calibri" w:eastAsia="Calibri" w:hAnsi="Calibri" w:cs="Calibri"/>
          <w:i/>
          <w:spacing w:val="-2"/>
          <w:sz w:val="22"/>
          <w:szCs w:val="22"/>
        </w:rPr>
        <w:t>m</w:t>
      </w:r>
      <w:r>
        <w:rPr>
          <w:rFonts w:ascii="Calibri" w:eastAsia="Calibri" w:hAnsi="Calibri" w:cs="Calibri"/>
          <w:i/>
          <w:sz w:val="22"/>
          <w:szCs w:val="22"/>
        </w:rPr>
        <w:t>eas</w:t>
      </w:r>
      <w:r>
        <w:rPr>
          <w:rFonts w:ascii="Calibri" w:eastAsia="Calibri" w:hAnsi="Calibri" w:cs="Calibri"/>
          <w:i/>
          <w:spacing w:val="-1"/>
          <w:sz w:val="22"/>
          <w:szCs w:val="22"/>
        </w:rPr>
        <w:t>u</w:t>
      </w:r>
      <w:r>
        <w:rPr>
          <w:rFonts w:ascii="Calibri" w:eastAsia="Calibri" w:hAnsi="Calibri" w:cs="Calibri"/>
          <w:i/>
          <w:spacing w:val="1"/>
          <w:sz w:val="22"/>
          <w:szCs w:val="22"/>
        </w:rPr>
        <w:t>r</w:t>
      </w:r>
      <w:r>
        <w:rPr>
          <w:rFonts w:ascii="Calibri" w:eastAsia="Calibri" w:hAnsi="Calibri" w:cs="Calibri"/>
          <w:i/>
          <w:spacing w:val="-2"/>
          <w:sz w:val="22"/>
          <w:szCs w:val="22"/>
        </w:rPr>
        <w:t>e</w:t>
      </w:r>
      <w:r>
        <w:rPr>
          <w:rFonts w:ascii="Calibri" w:eastAsia="Calibri" w:hAnsi="Calibri" w:cs="Calibri"/>
          <w:i/>
          <w:sz w:val="22"/>
          <w:szCs w:val="22"/>
        </w:rPr>
        <w:t>s.</w:t>
      </w:r>
    </w:p>
    <w:p w:rsidR="00AF0282" w:rsidRPr="00D6564C" w:rsidRDefault="00AF0282" w:rsidP="00AF0282">
      <w:pPr>
        <w:spacing w:after="20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b/>
          <w:i/>
          <w:sz w:val="22"/>
          <w:szCs w:val="22"/>
        </w:rPr>
        <w:t>GHG Planning Price</w:t>
      </w:r>
      <w:r w:rsidRPr="00D6564C">
        <w:rPr>
          <w:rFonts w:asciiTheme="minorHAnsi" w:eastAsiaTheme="minorHAnsi" w:hAnsiTheme="minorHAnsi" w:cstheme="minorBidi"/>
          <w:i/>
          <w:sz w:val="22"/>
          <w:szCs w:val="22"/>
        </w:rPr>
        <w:t xml:space="preserve"> –The GHG Planning Price is equivalent to the marginal cost of GHG abatement associated with the 42 MMT Scenario for the years 2018 to 2026 (i.e., a curve that slopes upward from ~$15/ton to ~$23/ton), followed by a straight-line increase from ~$23/ton in 2026 to $150/ton in 2030, as shown in Table A. Each LSE must use either the GHG Planning Price or GHG Emissions Benchmark in developing its Conforming Portfolio.</w:t>
      </w:r>
    </w:p>
    <w:p w:rsidR="00AF0282" w:rsidRPr="00D6564C" w:rsidRDefault="00AF0282" w:rsidP="00AF0282">
      <w:pPr>
        <w:spacing w:after="20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b/>
          <w:i/>
          <w:sz w:val="22"/>
          <w:szCs w:val="22"/>
        </w:rPr>
        <w:t>IRP Planning Horizon</w:t>
      </w:r>
      <w:r w:rsidRPr="00D6564C">
        <w:rPr>
          <w:rFonts w:asciiTheme="minorHAnsi" w:eastAsiaTheme="minorHAnsi" w:hAnsiTheme="minorHAnsi" w:cstheme="minorBidi"/>
          <w:i/>
          <w:sz w:val="22"/>
          <w:szCs w:val="22"/>
        </w:rPr>
        <w:t xml:space="preserve"> – The IRP Planning Horizon will typically cover 20 years. However, for the purposes of this IRP 2017-18 </w:t>
      </w:r>
      <w:proofErr w:type="gramStart"/>
      <w:r w:rsidRPr="00D6564C">
        <w:rPr>
          <w:rFonts w:asciiTheme="minorHAnsi" w:eastAsiaTheme="minorHAnsi" w:hAnsiTheme="minorHAnsi" w:cstheme="minorBidi"/>
          <w:i/>
          <w:sz w:val="22"/>
          <w:szCs w:val="22"/>
        </w:rPr>
        <w:t>cycle</w:t>
      </w:r>
      <w:proofErr w:type="gramEnd"/>
      <w:r w:rsidRPr="00D6564C">
        <w:rPr>
          <w:rFonts w:asciiTheme="minorHAnsi" w:eastAsiaTheme="minorHAnsi" w:hAnsiTheme="minorHAnsi" w:cstheme="minorBidi"/>
          <w:i/>
          <w:sz w:val="22"/>
          <w:szCs w:val="22"/>
        </w:rPr>
        <w:t>, the IRP Planning Horizon will cover only up to the year 2030.</w:t>
      </w:r>
    </w:p>
    <w:p w:rsidR="00AF0282" w:rsidRPr="00D6564C" w:rsidRDefault="00AF0282" w:rsidP="00AF0282">
      <w:pPr>
        <w:spacing w:after="20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b/>
          <w:i/>
          <w:sz w:val="22"/>
          <w:szCs w:val="22"/>
        </w:rPr>
        <w:t>Long term</w:t>
      </w:r>
      <w:r w:rsidRPr="00D6564C">
        <w:rPr>
          <w:rFonts w:asciiTheme="minorHAnsi" w:eastAsiaTheme="minorHAnsi" w:hAnsiTheme="minorHAnsi" w:cstheme="minorBidi"/>
          <w:i/>
          <w:sz w:val="22"/>
          <w:szCs w:val="22"/>
        </w:rPr>
        <w:t xml:space="preserve"> – 10 or more years (unless otherwise specified)</w:t>
      </w:r>
    </w:p>
    <w:p w:rsidR="00AF0282" w:rsidRPr="00D6564C" w:rsidRDefault="00AF0282" w:rsidP="00AF0282">
      <w:pPr>
        <w:spacing w:after="20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b/>
          <w:i/>
          <w:sz w:val="22"/>
          <w:szCs w:val="22"/>
        </w:rPr>
        <w:lastRenderedPageBreak/>
        <w:t>Portfolio</w:t>
      </w:r>
      <w:r w:rsidRPr="00D6564C">
        <w:rPr>
          <w:rFonts w:asciiTheme="minorHAnsi" w:eastAsiaTheme="minorHAnsi" w:hAnsiTheme="minorHAnsi" w:cstheme="minorBidi"/>
          <w:i/>
          <w:sz w:val="22"/>
          <w:szCs w:val="22"/>
        </w:rPr>
        <w:t xml:space="preserve"> – A portfolio is a set of supply and/or demand resources with certain attributes that together serve a particular level of load.</w:t>
      </w:r>
    </w:p>
    <w:p w:rsidR="00AF0282" w:rsidRPr="00D6564C" w:rsidRDefault="00AF0282" w:rsidP="00AF0282">
      <w:pPr>
        <w:spacing w:after="20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b/>
          <w:i/>
          <w:sz w:val="22"/>
          <w:szCs w:val="22"/>
        </w:rPr>
        <w:t>Preferred Portfolio</w:t>
      </w:r>
      <w:r w:rsidRPr="00D6564C">
        <w:rPr>
          <w:rFonts w:asciiTheme="minorHAnsi" w:eastAsiaTheme="minorHAnsi" w:hAnsiTheme="minorHAnsi" w:cstheme="minorBidi"/>
          <w:i/>
          <w:sz w:val="22"/>
          <w:szCs w:val="22"/>
        </w:rPr>
        <w:t xml:space="preserve"> – Among all the portfolios developed by the LSE, the LSE will identify one as the most suitable to its own needs, deemed its “Preferred Portfolio.” Any deviations from the Conforming Portfolio must be justified and explained.</w:t>
      </w:r>
    </w:p>
    <w:p w:rsidR="00AF0282" w:rsidRPr="00D6564C" w:rsidRDefault="00AF0282" w:rsidP="00AF0282">
      <w:pPr>
        <w:spacing w:after="200" w:line="276" w:lineRule="auto"/>
        <w:rPr>
          <w:rFonts w:asciiTheme="minorHAnsi" w:eastAsiaTheme="minorHAnsi" w:hAnsiTheme="minorHAnsi" w:cstheme="minorBidi"/>
          <w:bCs/>
          <w:i/>
          <w:sz w:val="22"/>
          <w:szCs w:val="22"/>
        </w:rPr>
      </w:pPr>
      <w:r w:rsidRPr="00D6564C">
        <w:rPr>
          <w:rFonts w:asciiTheme="minorHAnsi" w:eastAsiaTheme="minorHAnsi" w:hAnsiTheme="minorHAnsi" w:cstheme="minorBidi"/>
          <w:b/>
          <w:i/>
          <w:sz w:val="22"/>
          <w:szCs w:val="22"/>
        </w:rPr>
        <w:t xml:space="preserve">Reference System Plan </w:t>
      </w:r>
      <w:r w:rsidRPr="00D6564C">
        <w:rPr>
          <w:rFonts w:asciiTheme="minorHAnsi" w:eastAsiaTheme="minorHAnsi" w:hAnsiTheme="minorHAnsi" w:cstheme="minorBidi"/>
          <w:i/>
          <w:sz w:val="22"/>
          <w:szCs w:val="22"/>
        </w:rPr>
        <w:t>– The Reference System Plan refers to the Commission-approved</w:t>
      </w:r>
      <w:r w:rsidRPr="00D6564C">
        <w:rPr>
          <w:rFonts w:asciiTheme="minorHAnsi" w:eastAsiaTheme="minorHAnsi" w:hAnsiTheme="minorHAnsi" w:cstheme="minorBidi"/>
          <w:bCs/>
          <w:i/>
          <w:sz w:val="22"/>
          <w:szCs w:val="22"/>
        </w:rPr>
        <w:t xml:space="preserve"> integrated resource plan that includes an optimal portfolio (Reference System Portfolio) of future resources for serving load in the CAISO balancing authority area and meeting multiple state goals, including meeting GHG reduction and reliability targets at least cost.</w:t>
      </w:r>
    </w:p>
    <w:p w:rsidR="00AF0282" w:rsidRPr="00D6564C" w:rsidRDefault="00AF0282" w:rsidP="00AF0282">
      <w:pPr>
        <w:spacing w:after="20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b/>
          <w:i/>
          <w:sz w:val="22"/>
          <w:szCs w:val="22"/>
        </w:rPr>
        <w:t>Reference System Portfolio</w:t>
      </w:r>
      <w:r w:rsidRPr="00D6564C">
        <w:rPr>
          <w:rFonts w:asciiTheme="minorHAnsi" w:eastAsiaTheme="minorHAnsi" w:hAnsiTheme="minorHAnsi" w:cstheme="minorBidi"/>
          <w:i/>
          <w:sz w:val="22"/>
          <w:szCs w:val="22"/>
        </w:rPr>
        <w:t xml:space="preserve"> – The Reference System Plan refers to the Commission-approved</w:t>
      </w:r>
      <w:r w:rsidRPr="00D6564C">
        <w:rPr>
          <w:rFonts w:asciiTheme="minorHAnsi" w:eastAsiaTheme="minorHAnsi" w:hAnsiTheme="minorHAnsi" w:cstheme="minorBidi"/>
          <w:bCs/>
          <w:i/>
          <w:sz w:val="22"/>
          <w:szCs w:val="22"/>
        </w:rPr>
        <w:t xml:space="preserve"> </w:t>
      </w:r>
      <w:r w:rsidRPr="00D6564C">
        <w:rPr>
          <w:rFonts w:asciiTheme="minorHAnsi" w:eastAsiaTheme="minorHAnsi" w:hAnsiTheme="minorHAnsi" w:cstheme="minorBidi"/>
          <w:i/>
          <w:sz w:val="22"/>
          <w:szCs w:val="22"/>
        </w:rPr>
        <w:t>portfolio that is responsive to statutory requirements per Pub. Util. Code 454.51; it is part of the Reference System Plan.</w:t>
      </w:r>
    </w:p>
    <w:p w:rsidR="00AF0282" w:rsidRPr="00D6564C" w:rsidRDefault="00AF0282" w:rsidP="00AF0282">
      <w:pPr>
        <w:spacing w:after="20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b/>
          <w:i/>
          <w:sz w:val="22"/>
          <w:szCs w:val="22"/>
        </w:rPr>
        <w:t>Scenario</w:t>
      </w:r>
      <w:r w:rsidRPr="00D6564C">
        <w:rPr>
          <w:rFonts w:asciiTheme="minorHAnsi" w:eastAsiaTheme="minorHAnsi" w:hAnsiTheme="minorHAnsi" w:cstheme="minorBidi"/>
          <w:i/>
          <w:sz w:val="22"/>
          <w:szCs w:val="22"/>
        </w:rPr>
        <w:t xml:space="preserve"> – A scenario is a portfolio together with a set of assumptions about future conditions.</w:t>
      </w:r>
    </w:p>
    <w:p w:rsidR="00AF0282" w:rsidRPr="00D6564C" w:rsidRDefault="00AF0282" w:rsidP="00AF0282">
      <w:pPr>
        <w:spacing w:after="20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b/>
          <w:i/>
          <w:sz w:val="22"/>
          <w:szCs w:val="22"/>
        </w:rPr>
        <w:t>Short term</w:t>
      </w:r>
      <w:r w:rsidRPr="00D6564C">
        <w:rPr>
          <w:rFonts w:asciiTheme="minorHAnsi" w:eastAsiaTheme="minorHAnsi" w:hAnsiTheme="minorHAnsi" w:cstheme="minorBidi"/>
          <w:i/>
          <w:sz w:val="22"/>
          <w:szCs w:val="22"/>
        </w:rPr>
        <w:t xml:space="preserve"> – 1 to 3 years (unless otherwise specified)</w:t>
      </w:r>
    </w:p>
    <w:p w:rsidR="00AF0282" w:rsidRPr="00D6564C" w:rsidRDefault="00AF0282" w:rsidP="00AF0282">
      <w:pPr>
        <w:spacing w:after="20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b/>
          <w:i/>
          <w:sz w:val="22"/>
          <w:szCs w:val="22"/>
        </w:rPr>
        <w:t>Standard LSE Plan</w:t>
      </w:r>
      <w:r w:rsidRPr="00D6564C">
        <w:rPr>
          <w:rFonts w:asciiTheme="minorHAnsi" w:eastAsiaTheme="minorHAnsi" w:hAnsiTheme="minorHAnsi" w:cstheme="minorBidi"/>
          <w:i/>
          <w:sz w:val="22"/>
          <w:szCs w:val="22"/>
        </w:rPr>
        <w:t xml:space="preserve"> – A Standard LSE Plan is the type of integrated resource plan that an LSE is required to file if its assigned load forecast is </w:t>
      </w:r>
      <w:r w:rsidRPr="00D6564C">
        <w:rPr>
          <w:rFonts w:ascii="Calibri" w:eastAsiaTheme="minorHAnsi" w:hAnsi="Calibri" w:cstheme="minorBidi"/>
          <w:i/>
          <w:sz w:val="22"/>
          <w:szCs w:val="22"/>
        </w:rPr>
        <w:t>≥</w:t>
      </w:r>
      <w:r w:rsidRPr="00D6564C">
        <w:rPr>
          <w:rFonts w:asciiTheme="minorHAnsi" w:eastAsiaTheme="minorHAnsi" w:hAnsiTheme="minorHAnsi" w:cstheme="minorBidi"/>
          <w:i/>
          <w:sz w:val="22"/>
          <w:szCs w:val="22"/>
        </w:rPr>
        <w:t xml:space="preserve"> 700 GWh in any of the first five years of the IRP planning horizon.</w:t>
      </w:r>
    </w:p>
    <w:p w:rsidR="00AF0282" w:rsidRDefault="00AF0282" w:rsidP="00AF0282">
      <w:pPr>
        <w:spacing w:after="200" w:line="276" w:lineRule="auto"/>
        <w:rPr>
          <w:rFonts w:asciiTheme="minorHAnsi" w:eastAsiaTheme="minorHAnsi" w:hAnsiTheme="minorHAnsi" w:cstheme="minorBidi"/>
          <w:i/>
          <w:sz w:val="22"/>
          <w:szCs w:val="22"/>
        </w:rPr>
      </w:pPr>
      <w:r w:rsidRPr="00D6564C">
        <w:rPr>
          <w:rFonts w:asciiTheme="minorHAnsi" w:eastAsiaTheme="minorHAnsi" w:hAnsiTheme="minorHAnsi" w:cstheme="minorBidi"/>
          <w:b/>
          <w:i/>
          <w:sz w:val="22"/>
          <w:szCs w:val="22"/>
        </w:rPr>
        <w:t>Standard LSE Plan Template</w:t>
      </w:r>
      <w:r w:rsidRPr="00D6564C">
        <w:rPr>
          <w:rFonts w:asciiTheme="minorHAnsi" w:eastAsiaTheme="minorHAnsi" w:hAnsiTheme="minorHAnsi" w:cstheme="minorBidi"/>
          <w:i/>
          <w:sz w:val="22"/>
          <w:szCs w:val="22"/>
        </w:rPr>
        <w:t xml:space="preserve"> – Each LSE required to file a Standard LSE Plan must use the Standard LSE Plan Template according to the instructions provided herein.</w:t>
      </w:r>
    </w:p>
    <w:p w:rsidR="00AF0282" w:rsidRDefault="00AF0282" w:rsidP="00AF0282">
      <w:pPr>
        <w:spacing w:after="200" w:line="276" w:lineRule="auto"/>
        <w:rPr>
          <w:rFonts w:asciiTheme="minorHAnsi" w:eastAsiaTheme="minorHAnsi" w:hAnsiTheme="minorHAnsi" w:cstheme="minorBidi"/>
          <w:i/>
          <w:sz w:val="22"/>
          <w:szCs w:val="22"/>
        </w:rPr>
      </w:pPr>
    </w:p>
    <w:p w:rsidR="00AF0282" w:rsidRDefault="00AF0282" w:rsidP="00AF0282">
      <w:pPr>
        <w:spacing w:after="200" w:line="276" w:lineRule="auto"/>
        <w:rPr>
          <w:rFonts w:asciiTheme="minorHAnsi" w:eastAsiaTheme="minorHAnsi" w:hAnsiTheme="minorHAnsi" w:cstheme="minorBidi"/>
          <w:i/>
          <w:sz w:val="22"/>
          <w:szCs w:val="22"/>
        </w:rPr>
      </w:pPr>
    </w:p>
    <w:p w:rsidR="006841C8" w:rsidRPr="00AF0282" w:rsidRDefault="00AF0282" w:rsidP="00AF0282">
      <w:pPr>
        <w:spacing w:after="200" w:line="276" w:lineRule="auto"/>
        <w:jc w:val="center"/>
        <w:rPr>
          <w:rFonts w:asciiTheme="minorHAnsi" w:eastAsiaTheme="minorHAnsi" w:hAnsiTheme="minorHAnsi" w:cstheme="minorBidi"/>
          <w:szCs w:val="26"/>
        </w:rPr>
      </w:pPr>
      <w:r w:rsidRPr="003D5ED2">
        <w:rPr>
          <w:rFonts w:asciiTheme="minorHAnsi" w:eastAsiaTheme="minorHAnsi" w:hAnsiTheme="minorHAnsi" w:cstheme="minorBidi"/>
          <w:szCs w:val="26"/>
        </w:rPr>
        <w:t>(End of Attachment A)</w:t>
      </w:r>
    </w:p>
    <w:sectPr w:rsidR="006841C8" w:rsidRPr="00AF028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49B" w:rsidRDefault="00D2349B" w:rsidP="00AF0282">
      <w:r>
        <w:separator/>
      </w:r>
    </w:p>
  </w:endnote>
  <w:endnote w:type="continuationSeparator" w:id="0">
    <w:p w:rsidR="00D2349B" w:rsidRDefault="00D2349B" w:rsidP="00AF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2020500000000000000"/>
    <w:charset w:val="00"/>
    <w:family w:val="roman"/>
    <w:pitch w:val="variable"/>
    <w:sig w:usb0="20000A87" w:usb1="08000000" w:usb2="00000008" w:usb3="00000000" w:csb0="00000105"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szCs w:val="22"/>
      </w:rPr>
      <w:id w:val="-105573277"/>
      <w:docPartObj>
        <w:docPartGallery w:val="Page Numbers (Bottom of Page)"/>
        <w:docPartUnique/>
      </w:docPartObj>
    </w:sdtPr>
    <w:sdtEndPr>
      <w:rPr>
        <w:noProof/>
      </w:rPr>
    </w:sdtEndPr>
    <w:sdtContent>
      <w:p w:rsidR="00D2349B" w:rsidRPr="007C0056" w:rsidRDefault="00D2349B" w:rsidP="007C0056">
        <w:pPr>
          <w:pStyle w:val="Footer"/>
          <w:jc w:val="center"/>
          <w:rPr>
            <w:rFonts w:asciiTheme="minorHAnsi" w:hAnsiTheme="minorHAnsi"/>
            <w:sz w:val="22"/>
            <w:szCs w:val="22"/>
          </w:rPr>
        </w:pPr>
        <w:r w:rsidRPr="007C0056">
          <w:rPr>
            <w:rFonts w:asciiTheme="minorHAnsi" w:hAnsiTheme="minorHAnsi"/>
            <w:sz w:val="22"/>
            <w:szCs w:val="22"/>
          </w:rPr>
          <w:fldChar w:fldCharType="begin"/>
        </w:r>
        <w:r w:rsidRPr="007C0056">
          <w:rPr>
            <w:rFonts w:asciiTheme="minorHAnsi" w:hAnsiTheme="minorHAnsi"/>
            <w:sz w:val="22"/>
            <w:szCs w:val="22"/>
          </w:rPr>
          <w:instrText xml:space="preserve"> PAGE   \* MERGEFORMAT </w:instrText>
        </w:r>
        <w:r w:rsidRPr="007C0056">
          <w:rPr>
            <w:rFonts w:asciiTheme="minorHAnsi" w:hAnsiTheme="minorHAnsi"/>
            <w:sz w:val="22"/>
            <w:szCs w:val="22"/>
          </w:rPr>
          <w:fldChar w:fldCharType="separate"/>
        </w:r>
        <w:r w:rsidR="001F4769">
          <w:rPr>
            <w:rFonts w:asciiTheme="minorHAnsi" w:hAnsiTheme="minorHAnsi"/>
            <w:noProof/>
            <w:sz w:val="22"/>
            <w:szCs w:val="22"/>
          </w:rPr>
          <w:t>1</w:t>
        </w:r>
        <w:r w:rsidRPr="007C0056">
          <w:rPr>
            <w:rFonts w:asciiTheme="minorHAnsi" w:hAnsiTheme="minorHAnsi"/>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49B" w:rsidRDefault="00D2349B" w:rsidP="00AF0282">
      <w:r>
        <w:separator/>
      </w:r>
    </w:p>
  </w:footnote>
  <w:footnote w:type="continuationSeparator" w:id="0">
    <w:p w:rsidR="00D2349B" w:rsidRDefault="00D2349B" w:rsidP="00AF0282">
      <w:r>
        <w:continuationSeparator/>
      </w:r>
    </w:p>
  </w:footnote>
  <w:footnote w:id="1">
    <w:p w:rsidR="00D2349B" w:rsidRPr="001C110E" w:rsidRDefault="00D2349B">
      <w:pPr>
        <w:pStyle w:val="FootnoteText"/>
        <w:rPr>
          <w:rFonts w:asciiTheme="minorHAnsi" w:hAnsiTheme="minorHAnsi"/>
          <w:sz w:val="20"/>
        </w:rPr>
      </w:pPr>
      <w:r w:rsidRPr="001C110E">
        <w:rPr>
          <w:rStyle w:val="FootnoteReference"/>
          <w:rFonts w:asciiTheme="minorHAnsi" w:hAnsiTheme="minorHAnsi"/>
          <w:sz w:val="20"/>
        </w:rPr>
        <w:footnoteRef/>
      </w:r>
      <w:r w:rsidRPr="001C110E">
        <w:rPr>
          <w:rFonts w:asciiTheme="minorHAnsi" w:hAnsiTheme="minorHAnsi"/>
          <w:sz w:val="20"/>
        </w:rPr>
        <w:t xml:space="preserve"> Available at: </w:t>
      </w:r>
      <w:hyperlink r:id="rId1" w:history="1">
        <w:r w:rsidRPr="001C110E">
          <w:rPr>
            <w:rStyle w:val="Hyperlink"/>
            <w:rFonts w:asciiTheme="minorHAnsi" w:hAnsiTheme="minorHAnsi"/>
            <w:sz w:val="20"/>
          </w:rPr>
          <w:t>www.energy.ca.gov/assessments/ng_burner_tip.html</w:t>
        </w:r>
      </w:hyperlink>
      <w:r w:rsidRPr="001C110E">
        <w:rPr>
          <w:rFonts w:asciiTheme="minorHAnsi" w:hAnsiTheme="minorHAnsi"/>
          <w:sz w:val="20"/>
        </w:rPr>
        <w:t xml:space="preserve">. </w:t>
      </w:r>
    </w:p>
  </w:footnote>
  <w:footnote w:id="2">
    <w:p w:rsidR="00D2349B" w:rsidRPr="00916BEF" w:rsidRDefault="00D2349B">
      <w:pPr>
        <w:pStyle w:val="FootnoteText"/>
        <w:rPr>
          <w:rFonts w:asciiTheme="minorHAnsi" w:hAnsiTheme="minorHAnsi"/>
          <w:sz w:val="20"/>
        </w:rPr>
      </w:pPr>
      <w:r w:rsidRPr="00916BEF">
        <w:rPr>
          <w:rStyle w:val="FootnoteReference"/>
          <w:rFonts w:asciiTheme="minorHAnsi" w:hAnsiTheme="minorHAnsi"/>
          <w:sz w:val="20"/>
        </w:rPr>
        <w:footnoteRef/>
      </w:r>
      <w:r w:rsidRPr="00916BEF">
        <w:rPr>
          <w:rFonts w:asciiTheme="minorHAnsi" w:hAnsiTheme="minorHAnsi"/>
          <w:sz w:val="20"/>
        </w:rPr>
        <w:t xml:space="preserve"> http://cpuc.ca.gov/irp/filingtemplates/</w:t>
      </w:r>
    </w:p>
  </w:footnote>
  <w:footnote w:id="3">
    <w:p w:rsidR="00D2349B" w:rsidRDefault="00D2349B">
      <w:pPr>
        <w:pStyle w:val="FootnoteText"/>
      </w:pPr>
      <w:r>
        <w:rPr>
          <w:rStyle w:val="FootnoteReference"/>
        </w:rPr>
        <w:footnoteRef/>
      </w:r>
      <w:r>
        <w:t xml:space="preserve"> </w:t>
      </w:r>
      <w:r w:rsidRPr="00916BEF">
        <w:rPr>
          <w:rFonts w:asciiTheme="minorHAnsi" w:hAnsiTheme="minorHAnsi"/>
          <w:sz w:val="20"/>
        </w:rPr>
        <w:t xml:space="preserve">LSEs are </w:t>
      </w:r>
      <w:r>
        <w:rPr>
          <w:rFonts w:asciiTheme="minorHAnsi" w:hAnsiTheme="minorHAnsi"/>
          <w:sz w:val="20"/>
        </w:rPr>
        <w:t>encouraged to use</w:t>
      </w:r>
      <w:r w:rsidRPr="00916BEF">
        <w:rPr>
          <w:rFonts w:asciiTheme="minorHAnsi" w:hAnsiTheme="minorHAnsi"/>
          <w:sz w:val="20"/>
        </w:rPr>
        <w:t xml:space="preserve"> factors from the CEC Cost of Generation (2015) and the USEPA AP-42, the EPA’s compilation of air emission factors. </w:t>
      </w:r>
    </w:p>
  </w:footnote>
  <w:footnote w:id="4">
    <w:p w:rsidR="00D2349B" w:rsidRPr="001C110E" w:rsidRDefault="00D2349B" w:rsidP="00AF0282">
      <w:pPr>
        <w:pStyle w:val="FootnoteText"/>
        <w:rPr>
          <w:rFonts w:asciiTheme="minorHAnsi" w:hAnsiTheme="minorHAnsi"/>
          <w:sz w:val="20"/>
        </w:rPr>
      </w:pPr>
      <w:r w:rsidRPr="001C110E">
        <w:rPr>
          <w:rStyle w:val="FootnoteReference"/>
          <w:rFonts w:asciiTheme="minorHAnsi" w:hAnsiTheme="minorHAnsi"/>
          <w:sz w:val="20"/>
        </w:rPr>
        <w:footnoteRef/>
      </w:r>
      <w:r w:rsidRPr="001C110E">
        <w:rPr>
          <w:rFonts w:asciiTheme="minorHAnsi" w:hAnsiTheme="minorHAnsi"/>
          <w:sz w:val="20"/>
        </w:rPr>
        <w:t xml:space="preserve"> Refer to the Commission’s Resource Adequacy Compliance Materials, available at: http://cpuc.ca.gov/General.aspx?id=6311. </w:t>
      </w:r>
    </w:p>
  </w:footnote>
  <w:footnote w:id="5">
    <w:p w:rsidR="00D2349B" w:rsidRPr="001C110E" w:rsidRDefault="00D2349B" w:rsidP="00AF0282">
      <w:pPr>
        <w:pStyle w:val="FootnoteText"/>
        <w:rPr>
          <w:rFonts w:asciiTheme="minorHAnsi" w:hAnsiTheme="minorHAnsi"/>
          <w:sz w:val="20"/>
        </w:rPr>
      </w:pPr>
      <w:r w:rsidRPr="001C110E">
        <w:rPr>
          <w:rStyle w:val="FootnoteReference"/>
          <w:rFonts w:asciiTheme="minorHAnsi" w:hAnsiTheme="minorHAnsi"/>
          <w:sz w:val="20"/>
        </w:rPr>
        <w:footnoteRef/>
      </w:r>
      <w:r w:rsidRPr="001C110E">
        <w:rPr>
          <w:rFonts w:asciiTheme="minorHAnsi" w:hAnsiTheme="minorHAnsi"/>
          <w:sz w:val="20"/>
        </w:rPr>
        <w:t xml:space="preserve"> CAISO has ten primary local capacity areas (i.e. transmission-constrained load pockets): Humboldt, North Coast North Bay, Sierra, Stockton, Greater Bay, Greater Fresno, Kern, LA Basin, Big Creek Ventura, </w:t>
      </w:r>
      <w:proofErr w:type="gramStart"/>
      <w:r w:rsidRPr="001C110E">
        <w:rPr>
          <w:rFonts w:asciiTheme="minorHAnsi" w:hAnsiTheme="minorHAnsi"/>
          <w:sz w:val="20"/>
        </w:rPr>
        <w:t>San</w:t>
      </w:r>
      <w:proofErr w:type="gramEnd"/>
      <w:r w:rsidRPr="001C110E">
        <w:rPr>
          <w:rFonts w:asciiTheme="minorHAnsi" w:hAnsiTheme="minorHAnsi"/>
          <w:sz w:val="20"/>
        </w:rPr>
        <w:t xml:space="preserve"> Diego Imperial Valley.</w:t>
      </w:r>
    </w:p>
  </w:footnote>
  <w:footnote w:id="6">
    <w:p w:rsidR="00D2349B" w:rsidRPr="00916BEF" w:rsidRDefault="00D2349B" w:rsidP="00F737E9">
      <w:pPr>
        <w:pStyle w:val="FootnoteText"/>
        <w:rPr>
          <w:rFonts w:asciiTheme="minorHAnsi" w:hAnsiTheme="minorHAnsi"/>
          <w:sz w:val="20"/>
        </w:rPr>
      </w:pPr>
      <w:r w:rsidRPr="00916BEF">
        <w:rPr>
          <w:rStyle w:val="FootnoteReference"/>
          <w:rFonts w:asciiTheme="minorHAnsi" w:hAnsiTheme="minorHAnsi"/>
          <w:sz w:val="20"/>
        </w:rPr>
        <w:footnoteRef/>
      </w:r>
      <w:r w:rsidRPr="00916BEF">
        <w:rPr>
          <w:rFonts w:asciiTheme="minorHAnsi" w:hAnsiTheme="minorHAnsi"/>
          <w:sz w:val="20"/>
        </w:rPr>
        <w:t xml:space="preserve"> LCT reports are available </w:t>
      </w:r>
      <w:hyperlink r:id="rId2" w:history="1">
        <w:r w:rsidRPr="00916BEF">
          <w:rPr>
            <w:rStyle w:val="Hyperlink"/>
            <w:rFonts w:asciiTheme="minorHAnsi" w:hAnsiTheme="minorHAnsi"/>
            <w:sz w:val="20"/>
          </w:rPr>
          <w:t>at</w:t>
        </w:r>
      </w:hyperlink>
      <w:r w:rsidRPr="00916BEF">
        <w:rPr>
          <w:rStyle w:val="Hyperlink"/>
          <w:rFonts w:asciiTheme="minorHAnsi" w:hAnsiTheme="minorHAnsi"/>
          <w:sz w:val="20"/>
        </w:rPr>
        <w:t>: www.caiso.com/informed/Pages/StakeholderProcesses/LocalCapacityRequirementsProcess.aspx</w:t>
      </w:r>
      <w:r w:rsidRPr="00916BEF">
        <w:rPr>
          <w:rFonts w:asciiTheme="minorHAnsi" w:hAnsiTheme="minorHAnsi"/>
          <w:sz w:val="20"/>
        </w:rPr>
        <w:t>.</w:t>
      </w:r>
    </w:p>
  </w:footnote>
  <w:footnote w:id="7">
    <w:p w:rsidR="00D2349B" w:rsidRPr="001C110E" w:rsidRDefault="00D2349B" w:rsidP="00AF0282">
      <w:pPr>
        <w:pStyle w:val="FootnoteText"/>
        <w:rPr>
          <w:rFonts w:asciiTheme="minorHAnsi" w:hAnsiTheme="minorHAnsi"/>
          <w:sz w:val="20"/>
        </w:rPr>
      </w:pPr>
      <w:r w:rsidRPr="001C110E">
        <w:rPr>
          <w:rStyle w:val="FootnoteReference"/>
          <w:rFonts w:asciiTheme="minorHAnsi" w:hAnsiTheme="minorHAnsi"/>
          <w:sz w:val="20"/>
        </w:rPr>
        <w:footnoteRef/>
      </w:r>
      <w:r w:rsidRPr="001C110E">
        <w:rPr>
          <w:rFonts w:asciiTheme="minorHAnsi" w:hAnsiTheme="minorHAnsi"/>
          <w:sz w:val="20"/>
        </w:rPr>
        <w:t xml:space="preserve"> Available at: </w:t>
      </w:r>
      <w:hyperlink r:id="rId3" w:history="1">
        <w:r w:rsidRPr="001C110E">
          <w:rPr>
            <w:rStyle w:val="Hyperlink"/>
            <w:rFonts w:asciiTheme="minorHAnsi" w:hAnsiTheme="minorHAnsi"/>
            <w:sz w:val="20"/>
          </w:rPr>
          <w:t>http://www.cpuc.ca.gov/</w:t>
        </w:r>
      </w:hyperlink>
      <w:r w:rsidRPr="001C110E">
        <w:rPr>
          <w:rStyle w:val="Hyperlink"/>
          <w:rFonts w:asciiTheme="minorHAnsi" w:hAnsiTheme="minorHAnsi"/>
          <w:sz w:val="20"/>
        </w:rPr>
        <w:t>irp/filingtemplates/.</w:t>
      </w:r>
    </w:p>
  </w:footnote>
  <w:footnote w:id="8">
    <w:p w:rsidR="00D2349B" w:rsidRPr="00916BEF" w:rsidRDefault="00D2349B">
      <w:pPr>
        <w:pStyle w:val="FootnoteText"/>
        <w:rPr>
          <w:rFonts w:asciiTheme="minorHAnsi" w:hAnsiTheme="minorHAnsi"/>
          <w:sz w:val="20"/>
        </w:rPr>
      </w:pPr>
      <w:r w:rsidRPr="00916BEF">
        <w:rPr>
          <w:rStyle w:val="FootnoteReference"/>
          <w:rFonts w:asciiTheme="minorHAnsi" w:hAnsiTheme="minorHAnsi"/>
          <w:sz w:val="20"/>
        </w:rPr>
        <w:footnoteRef/>
      </w:r>
      <w:r w:rsidRPr="00916BEF">
        <w:rPr>
          <w:rFonts w:asciiTheme="minorHAnsi" w:hAnsiTheme="minorHAnsi"/>
          <w:sz w:val="20"/>
        </w:rPr>
        <w:t xml:space="preserve"> </w:t>
      </w:r>
      <w:r w:rsidRPr="001C110E">
        <w:rPr>
          <w:rFonts w:asciiTheme="minorHAnsi" w:hAnsiTheme="minorHAnsi"/>
          <w:sz w:val="20"/>
        </w:rPr>
        <w:t xml:space="preserve">Available at: </w:t>
      </w:r>
      <w:hyperlink r:id="rId4" w:history="1">
        <w:r w:rsidRPr="001C110E">
          <w:rPr>
            <w:rStyle w:val="Hyperlink"/>
            <w:rFonts w:asciiTheme="minorHAnsi" w:hAnsiTheme="minorHAnsi"/>
            <w:sz w:val="20"/>
          </w:rPr>
          <w:t>http://www.cpuc.ca.gov/</w:t>
        </w:r>
      </w:hyperlink>
      <w:r w:rsidRPr="001C110E">
        <w:rPr>
          <w:rStyle w:val="Hyperlink"/>
          <w:rFonts w:asciiTheme="minorHAnsi" w:hAnsiTheme="minorHAnsi"/>
          <w:sz w:val="20"/>
        </w:rPr>
        <w:t>irp/filingtemplates/.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96659"/>
    <w:multiLevelType w:val="hybridMultilevel"/>
    <w:tmpl w:val="E326D714"/>
    <w:lvl w:ilvl="0" w:tplc="29BC793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037C58"/>
    <w:multiLevelType w:val="multilevel"/>
    <w:tmpl w:val="1D5CC8A0"/>
    <w:lvl w:ilvl="0">
      <w:start w:val="1"/>
      <w:numFmt w:val="decimal"/>
      <w:lvlText w:val="%1."/>
      <w:lvlJc w:val="left"/>
      <w:pPr>
        <w:ind w:left="360" w:hanging="360"/>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571FFC"/>
    <w:multiLevelType w:val="hybridMultilevel"/>
    <w:tmpl w:val="901619B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30781B48"/>
    <w:multiLevelType w:val="hybridMultilevel"/>
    <w:tmpl w:val="A0D8E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4541E4"/>
    <w:multiLevelType w:val="hybridMultilevel"/>
    <w:tmpl w:val="CFDCA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71772C"/>
    <w:multiLevelType w:val="hybridMultilevel"/>
    <w:tmpl w:val="47585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F597469"/>
    <w:multiLevelType w:val="hybridMultilevel"/>
    <w:tmpl w:val="6DA49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282"/>
    <w:rsid w:val="000B498F"/>
    <w:rsid w:val="000F58F4"/>
    <w:rsid w:val="0013179E"/>
    <w:rsid w:val="001C110E"/>
    <w:rsid w:val="001E0DB5"/>
    <w:rsid w:val="001F4769"/>
    <w:rsid w:val="001F71BA"/>
    <w:rsid w:val="00262EEF"/>
    <w:rsid w:val="00282C43"/>
    <w:rsid w:val="002F40C6"/>
    <w:rsid w:val="00304C8B"/>
    <w:rsid w:val="003173B9"/>
    <w:rsid w:val="003A395C"/>
    <w:rsid w:val="003B5AC3"/>
    <w:rsid w:val="003D2B50"/>
    <w:rsid w:val="00466A39"/>
    <w:rsid w:val="0047349C"/>
    <w:rsid w:val="004740FC"/>
    <w:rsid w:val="004758C8"/>
    <w:rsid w:val="004A1906"/>
    <w:rsid w:val="004B1665"/>
    <w:rsid w:val="004C02E4"/>
    <w:rsid w:val="00505180"/>
    <w:rsid w:val="005445DB"/>
    <w:rsid w:val="005D7CE2"/>
    <w:rsid w:val="006841C8"/>
    <w:rsid w:val="0069551D"/>
    <w:rsid w:val="00701A9B"/>
    <w:rsid w:val="00723A99"/>
    <w:rsid w:val="00732205"/>
    <w:rsid w:val="007330B8"/>
    <w:rsid w:val="0075255A"/>
    <w:rsid w:val="00762A52"/>
    <w:rsid w:val="007902C2"/>
    <w:rsid w:val="007C0056"/>
    <w:rsid w:val="007C0098"/>
    <w:rsid w:val="00853F2F"/>
    <w:rsid w:val="00864CF7"/>
    <w:rsid w:val="00887C82"/>
    <w:rsid w:val="008B0D7C"/>
    <w:rsid w:val="008B47F2"/>
    <w:rsid w:val="00916BEF"/>
    <w:rsid w:val="009267AB"/>
    <w:rsid w:val="00934D45"/>
    <w:rsid w:val="00944638"/>
    <w:rsid w:val="009810C2"/>
    <w:rsid w:val="009A3883"/>
    <w:rsid w:val="009F7CEE"/>
    <w:rsid w:val="00A67D1E"/>
    <w:rsid w:val="00AB4392"/>
    <w:rsid w:val="00AD46A7"/>
    <w:rsid w:val="00AE7986"/>
    <w:rsid w:val="00AF0282"/>
    <w:rsid w:val="00B0475D"/>
    <w:rsid w:val="00B0648B"/>
    <w:rsid w:val="00B22923"/>
    <w:rsid w:val="00BA32DA"/>
    <w:rsid w:val="00BB1684"/>
    <w:rsid w:val="00BB2FCB"/>
    <w:rsid w:val="00BF2A60"/>
    <w:rsid w:val="00C709B8"/>
    <w:rsid w:val="00C92D47"/>
    <w:rsid w:val="00CC5CC9"/>
    <w:rsid w:val="00CE3442"/>
    <w:rsid w:val="00D07857"/>
    <w:rsid w:val="00D2349B"/>
    <w:rsid w:val="00D334A3"/>
    <w:rsid w:val="00D55E27"/>
    <w:rsid w:val="00D605AE"/>
    <w:rsid w:val="00DD052F"/>
    <w:rsid w:val="00E2641A"/>
    <w:rsid w:val="00E71B35"/>
    <w:rsid w:val="00EF4554"/>
    <w:rsid w:val="00F737E9"/>
    <w:rsid w:val="00FB7D8F"/>
    <w:rsid w:val="00FC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282"/>
    <w:pPr>
      <w:spacing w:after="0" w:line="240" w:lineRule="auto"/>
    </w:pPr>
    <w:rPr>
      <w:rFonts w:ascii="Palatino" w:eastAsia="Times New Roman" w:hAnsi="Palatino"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AF0282"/>
    <w:pPr>
      <w:spacing w:after="120"/>
    </w:pPr>
    <w:rPr>
      <w:sz w:val="24"/>
    </w:rPr>
  </w:style>
  <w:style w:type="character" w:customStyle="1" w:styleId="FootnoteTextChar">
    <w:name w:val="Footnote Text Char"/>
    <w:basedOn w:val="DefaultParagraphFont"/>
    <w:link w:val="FootnoteText"/>
    <w:uiPriority w:val="99"/>
    <w:rsid w:val="00AF0282"/>
    <w:rPr>
      <w:rFonts w:ascii="Palatino" w:eastAsia="Times New Roman" w:hAnsi="Palatino" w:cs="Times New Roman"/>
      <w:sz w:val="24"/>
      <w:szCs w:val="20"/>
    </w:rPr>
  </w:style>
  <w:style w:type="character" w:styleId="FootnoteReference">
    <w:name w:val="footnote reference"/>
    <w:uiPriority w:val="99"/>
    <w:semiHidden/>
    <w:rsid w:val="00AF0282"/>
    <w:rPr>
      <w:sz w:val="24"/>
      <w:vertAlign w:val="superscript"/>
    </w:rPr>
  </w:style>
  <w:style w:type="character" w:styleId="Hyperlink">
    <w:name w:val="Hyperlink"/>
    <w:uiPriority w:val="99"/>
    <w:rsid w:val="00AF0282"/>
    <w:rPr>
      <w:color w:val="0000FF"/>
      <w:u w:val="single"/>
    </w:rPr>
  </w:style>
  <w:style w:type="table" w:customStyle="1" w:styleId="TableGrid1">
    <w:name w:val="Table Grid1"/>
    <w:basedOn w:val="TableNormal"/>
    <w:next w:val="TableGrid"/>
    <w:uiPriority w:val="59"/>
    <w:rsid w:val="00AF0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AF0282"/>
    <w:rPr>
      <w:sz w:val="16"/>
      <w:szCs w:val="16"/>
    </w:rPr>
  </w:style>
  <w:style w:type="paragraph" w:styleId="CommentText">
    <w:name w:val="annotation text"/>
    <w:basedOn w:val="Normal"/>
    <w:link w:val="CommentTextChar"/>
    <w:semiHidden/>
    <w:unhideWhenUsed/>
    <w:rsid w:val="00AF0282"/>
    <w:rPr>
      <w:sz w:val="20"/>
    </w:rPr>
  </w:style>
  <w:style w:type="character" w:customStyle="1" w:styleId="CommentTextChar">
    <w:name w:val="Comment Text Char"/>
    <w:basedOn w:val="DefaultParagraphFont"/>
    <w:link w:val="CommentText"/>
    <w:semiHidden/>
    <w:rsid w:val="00AF0282"/>
    <w:rPr>
      <w:rFonts w:ascii="Palatino" w:eastAsia="Times New Roman" w:hAnsi="Palatino" w:cs="Times New Roman"/>
      <w:sz w:val="20"/>
      <w:szCs w:val="20"/>
    </w:rPr>
  </w:style>
  <w:style w:type="table" w:styleId="TableGrid">
    <w:name w:val="Table Grid"/>
    <w:basedOn w:val="TableNormal"/>
    <w:rsid w:val="00AF0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0282"/>
    <w:rPr>
      <w:rFonts w:ascii="Tahoma" w:hAnsi="Tahoma" w:cs="Tahoma"/>
      <w:sz w:val="16"/>
      <w:szCs w:val="16"/>
    </w:rPr>
  </w:style>
  <w:style w:type="character" w:customStyle="1" w:styleId="BalloonTextChar">
    <w:name w:val="Balloon Text Char"/>
    <w:basedOn w:val="DefaultParagraphFont"/>
    <w:link w:val="BalloonText"/>
    <w:uiPriority w:val="99"/>
    <w:semiHidden/>
    <w:rsid w:val="00AF0282"/>
    <w:rPr>
      <w:rFonts w:ascii="Tahoma" w:eastAsia="Times New Roman" w:hAnsi="Tahoma" w:cs="Tahoma"/>
      <w:sz w:val="16"/>
      <w:szCs w:val="16"/>
    </w:rPr>
  </w:style>
  <w:style w:type="paragraph" w:styleId="Revision">
    <w:name w:val="Revision"/>
    <w:hidden/>
    <w:uiPriority w:val="99"/>
    <w:semiHidden/>
    <w:rsid w:val="00F737E9"/>
    <w:pPr>
      <w:spacing w:after="0" w:line="240" w:lineRule="auto"/>
    </w:pPr>
    <w:rPr>
      <w:rFonts w:ascii="Palatino" w:eastAsia="Times New Roman" w:hAnsi="Palatino" w:cs="Times New Roman"/>
      <w:sz w:val="26"/>
      <w:szCs w:val="20"/>
    </w:rPr>
  </w:style>
  <w:style w:type="character" w:customStyle="1" w:styleId="standardChar">
    <w:name w:val="standard Char"/>
    <w:link w:val="standard"/>
    <w:locked/>
    <w:rsid w:val="00F737E9"/>
    <w:rPr>
      <w:rFonts w:ascii="Palatino" w:hAnsi="Palatino" w:cs="Palatino"/>
      <w:sz w:val="26"/>
    </w:rPr>
  </w:style>
  <w:style w:type="paragraph" w:customStyle="1" w:styleId="standard">
    <w:name w:val="standard"/>
    <w:basedOn w:val="Normal"/>
    <w:link w:val="standardChar"/>
    <w:rsid w:val="00F737E9"/>
    <w:pPr>
      <w:spacing w:line="360" w:lineRule="auto"/>
      <w:ind w:firstLine="720"/>
    </w:pPr>
    <w:rPr>
      <w:rFonts w:eastAsiaTheme="minorHAnsi" w:cs="Palatino"/>
      <w:szCs w:val="22"/>
    </w:rPr>
  </w:style>
  <w:style w:type="paragraph" w:styleId="Header">
    <w:name w:val="header"/>
    <w:basedOn w:val="Normal"/>
    <w:link w:val="HeaderChar"/>
    <w:uiPriority w:val="99"/>
    <w:unhideWhenUsed/>
    <w:rsid w:val="007C0056"/>
    <w:pPr>
      <w:tabs>
        <w:tab w:val="center" w:pos="4680"/>
        <w:tab w:val="right" w:pos="9360"/>
      </w:tabs>
    </w:pPr>
  </w:style>
  <w:style w:type="character" w:customStyle="1" w:styleId="HeaderChar">
    <w:name w:val="Header Char"/>
    <w:basedOn w:val="DefaultParagraphFont"/>
    <w:link w:val="Header"/>
    <w:uiPriority w:val="99"/>
    <w:rsid w:val="007C0056"/>
    <w:rPr>
      <w:rFonts w:ascii="Palatino" w:eastAsia="Times New Roman" w:hAnsi="Palatino" w:cs="Times New Roman"/>
      <w:sz w:val="26"/>
      <w:szCs w:val="20"/>
    </w:rPr>
  </w:style>
  <w:style w:type="paragraph" w:styleId="Footer">
    <w:name w:val="footer"/>
    <w:basedOn w:val="Normal"/>
    <w:link w:val="FooterChar"/>
    <w:uiPriority w:val="99"/>
    <w:unhideWhenUsed/>
    <w:rsid w:val="007C0056"/>
    <w:pPr>
      <w:tabs>
        <w:tab w:val="center" w:pos="4680"/>
        <w:tab w:val="right" w:pos="9360"/>
      </w:tabs>
    </w:pPr>
  </w:style>
  <w:style w:type="character" w:customStyle="1" w:styleId="FooterChar">
    <w:name w:val="Footer Char"/>
    <w:basedOn w:val="DefaultParagraphFont"/>
    <w:link w:val="Footer"/>
    <w:uiPriority w:val="99"/>
    <w:rsid w:val="007C0056"/>
    <w:rPr>
      <w:rFonts w:ascii="Palatino" w:eastAsia="Times New Roman" w:hAnsi="Palatino" w:cs="Times New Roman"/>
      <w:sz w:val="26"/>
      <w:szCs w:val="20"/>
    </w:rPr>
  </w:style>
  <w:style w:type="paragraph" w:styleId="CommentSubject">
    <w:name w:val="annotation subject"/>
    <w:basedOn w:val="CommentText"/>
    <w:next w:val="CommentText"/>
    <w:link w:val="CommentSubjectChar"/>
    <w:uiPriority w:val="99"/>
    <w:semiHidden/>
    <w:unhideWhenUsed/>
    <w:rsid w:val="00762A52"/>
    <w:rPr>
      <w:b/>
      <w:bCs/>
    </w:rPr>
  </w:style>
  <w:style w:type="character" w:customStyle="1" w:styleId="CommentSubjectChar">
    <w:name w:val="Comment Subject Char"/>
    <w:basedOn w:val="CommentTextChar"/>
    <w:link w:val="CommentSubject"/>
    <w:uiPriority w:val="99"/>
    <w:semiHidden/>
    <w:rsid w:val="00762A52"/>
    <w:rPr>
      <w:rFonts w:ascii="Palatino" w:eastAsia="Times New Roman" w:hAnsi="Palatino"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282"/>
    <w:pPr>
      <w:spacing w:after="0" w:line="240" w:lineRule="auto"/>
    </w:pPr>
    <w:rPr>
      <w:rFonts w:ascii="Palatino" w:eastAsia="Times New Roman" w:hAnsi="Palatino"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AF0282"/>
    <w:pPr>
      <w:spacing w:after="120"/>
    </w:pPr>
    <w:rPr>
      <w:sz w:val="24"/>
    </w:rPr>
  </w:style>
  <w:style w:type="character" w:customStyle="1" w:styleId="FootnoteTextChar">
    <w:name w:val="Footnote Text Char"/>
    <w:basedOn w:val="DefaultParagraphFont"/>
    <w:link w:val="FootnoteText"/>
    <w:uiPriority w:val="99"/>
    <w:rsid w:val="00AF0282"/>
    <w:rPr>
      <w:rFonts w:ascii="Palatino" w:eastAsia="Times New Roman" w:hAnsi="Palatino" w:cs="Times New Roman"/>
      <w:sz w:val="24"/>
      <w:szCs w:val="20"/>
    </w:rPr>
  </w:style>
  <w:style w:type="character" w:styleId="FootnoteReference">
    <w:name w:val="footnote reference"/>
    <w:uiPriority w:val="99"/>
    <w:semiHidden/>
    <w:rsid w:val="00AF0282"/>
    <w:rPr>
      <w:sz w:val="24"/>
      <w:vertAlign w:val="superscript"/>
    </w:rPr>
  </w:style>
  <w:style w:type="character" w:styleId="Hyperlink">
    <w:name w:val="Hyperlink"/>
    <w:uiPriority w:val="99"/>
    <w:rsid w:val="00AF0282"/>
    <w:rPr>
      <w:color w:val="0000FF"/>
      <w:u w:val="single"/>
    </w:rPr>
  </w:style>
  <w:style w:type="table" w:customStyle="1" w:styleId="TableGrid1">
    <w:name w:val="Table Grid1"/>
    <w:basedOn w:val="TableNormal"/>
    <w:next w:val="TableGrid"/>
    <w:uiPriority w:val="59"/>
    <w:rsid w:val="00AF0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AF0282"/>
    <w:rPr>
      <w:sz w:val="16"/>
      <w:szCs w:val="16"/>
    </w:rPr>
  </w:style>
  <w:style w:type="paragraph" w:styleId="CommentText">
    <w:name w:val="annotation text"/>
    <w:basedOn w:val="Normal"/>
    <w:link w:val="CommentTextChar"/>
    <w:semiHidden/>
    <w:unhideWhenUsed/>
    <w:rsid w:val="00AF0282"/>
    <w:rPr>
      <w:sz w:val="20"/>
    </w:rPr>
  </w:style>
  <w:style w:type="character" w:customStyle="1" w:styleId="CommentTextChar">
    <w:name w:val="Comment Text Char"/>
    <w:basedOn w:val="DefaultParagraphFont"/>
    <w:link w:val="CommentText"/>
    <w:semiHidden/>
    <w:rsid w:val="00AF0282"/>
    <w:rPr>
      <w:rFonts w:ascii="Palatino" w:eastAsia="Times New Roman" w:hAnsi="Palatino" w:cs="Times New Roman"/>
      <w:sz w:val="20"/>
      <w:szCs w:val="20"/>
    </w:rPr>
  </w:style>
  <w:style w:type="table" w:styleId="TableGrid">
    <w:name w:val="Table Grid"/>
    <w:basedOn w:val="TableNormal"/>
    <w:rsid w:val="00AF0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0282"/>
    <w:rPr>
      <w:rFonts w:ascii="Tahoma" w:hAnsi="Tahoma" w:cs="Tahoma"/>
      <w:sz w:val="16"/>
      <w:szCs w:val="16"/>
    </w:rPr>
  </w:style>
  <w:style w:type="character" w:customStyle="1" w:styleId="BalloonTextChar">
    <w:name w:val="Balloon Text Char"/>
    <w:basedOn w:val="DefaultParagraphFont"/>
    <w:link w:val="BalloonText"/>
    <w:uiPriority w:val="99"/>
    <w:semiHidden/>
    <w:rsid w:val="00AF0282"/>
    <w:rPr>
      <w:rFonts w:ascii="Tahoma" w:eastAsia="Times New Roman" w:hAnsi="Tahoma" w:cs="Tahoma"/>
      <w:sz w:val="16"/>
      <w:szCs w:val="16"/>
    </w:rPr>
  </w:style>
  <w:style w:type="paragraph" w:styleId="Revision">
    <w:name w:val="Revision"/>
    <w:hidden/>
    <w:uiPriority w:val="99"/>
    <w:semiHidden/>
    <w:rsid w:val="00F737E9"/>
    <w:pPr>
      <w:spacing w:after="0" w:line="240" w:lineRule="auto"/>
    </w:pPr>
    <w:rPr>
      <w:rFonts w:ascii="Palatino" w:eastAsia="Times New Roman" w:hAnsi="Palatino" w:cs="Times New Roman"/>
      <w:sz w:val="26"/>
      <w:szCs w:val="20"/>
    </w:rPr>
  </w:style>
  <w:style w:type="character" w:customStyle="1" w:styleId="standardChar">
    <w:name w:val="standard Char"/>
    <w:link w:val="standard"/>
    <w:locked/>
    <w:rsid w:val="00F737E9"/>
    <w:rPr>
      <w:rFonts w:ascii="Palatino" w:hAnsi="Palatino" w:cs="Palatino"/>
      <w:sz w:val="26"/>
    </w:rPr>
  </w:style>
  <w:style w:type="paragraph" w:customStyle="1" w:styleId="standard">
    <w:name w:val="standard"/>
    <w:basedOn w:val="Normal"/>
    <w:link w:val="standardChar"/>
    <w:rsid w:val="00F737E9"/>
    <w:pPr>
      <w:spacing w:line="360" w:lineRule="auto"/>
      <w:ind w:firstLine="720"/>
    </w:pPr>
    <w:rPr>
      <w:rFonts w:eastAsiaTheme="minorHAnsi" w:cs="Palatino"/>
      <w:szCs w:val="22"/>
    </w:rPr>
  </w:style>
  <w:style w:type="paragraph" w:styleId="Header">
    <w:name w:val="header"/>
    <w:basedOn w:val="Normal"/>
    <w:link w:val="HeaderChar"/>
    <w:uiPriority w:val="99"/>
    <w:unhideWhenUsed/>
    <w:rsid w:val="007C0056"/>
    <w:pPr>
      <w:tabs>
        <w:tab w:val="center" w:pos="4680"/>
        <w:tab w:val="right" w:pos="9360"/>
      </w:tabs>
    </w:pPr>
  </w:style>
  <w:style w:type="character" w:customStyle="1" w:styleId="HeaderChar">
    <w:name w:val="Header Char"/>
    <w:basedOn w:val="DefaultParagraphFont"/>
    <w:link w:val="Header"/>
    <w:uiPriority w:val="99"/>
    <w:rsid w:val="007C0056"/>
    <w:rPr>
      <w:rFonts w:ascii="Palatino" w:eastAsia="Times New Roman" w:hAnsi="Palatino" w:cs="Times New Roman"/>
      <w:sz w:val="26"/>
      <w:szCs w:val="20"/>
    </w:rPr>
  </w:style>
  <w:style w:type="paragraph" w:styleId="Footer">
    <w:name w:val="footer"/>
    <w:basedOn w:val="Normal"/>
    <w:link w:val="FooterChar"/>
    <w:uiPriority w:val="99"/>
    <w:unhideWhenUsed/>
    <w:rsid w:val="007C0056"/>
    <w:pPr>
      <w:tabs>
        <w:tab w:val="center" w:pos="4680"/>
        <w:tab w:val="right" w:pos="9360"/>
      </w:tabs>
    </w:pPr>
  </w:style>
  <w:style w:type="character" w:customStyle="1" w:styleId="FooterChar">
    <w:name w:val="Footer Char"/>
    <w:basedOn w:val="DefaultParagraphFont"/>
    <w:link w:val="Footer"/>
    <w:uiPriority w:val="99"/>
    <w:rsid w:val="007C0056"/>
    <w:rPr>
      <w:rFonts w:ascii="Palatino" w:eastAsia="Times New Roman" w:hAnsi="Palatino" w:cs="Times New Roman"/>
      <w:sz w:val="26"/>
      <w:szCs w:val="20"/>
    </w:rPr>
  </w:style>
  <w:style w:type="paragraph" w:styleId="CommentSubject">
    <w:name w:val="annotation subject"/>
    <w:basedOn w:val="CommentText"/>
    <w:next w:val="CommentText"/>
    <w:link w:val="CommentSubjectChar"/>
    <w:uiPriority w:val="99"/>
    <w:semiHidden/>
    <w:unhideWhenUsed/>
    <w:rsid w:val="00762A52"/>
    <w:rPr>
      <w:b/>
      <w:bCs/>
    </w:rPr>
  </w:style>
  <w:style w:type="character" w:customStyle="1" w:styleId="CommentSubjectChar">
    <w:name w:val="Comment Subject Char"/>
    <w:basedOn w:val="CommentTextChar"/>
    <w:link w:val="CommentSubject"/>
    <w:uiPriority w:val="99"/>
    <w:semiHidden/>
    <w:rsid w:val="00762A52"/>
    <w:rPr>
      <w:rFonts w:ascii="Palatino" w:eastAsia="Times New Roman" w:hAnsi="Palatino"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puc.ca.gov/" TargetMode="External"/><Relationship Id="rId2" Type="http://schemas.openxmlformats.org/officeDocument/2006/relationships/hyperlink" Target="http://www.caiso.com/informed/Pages/StakeholderProcesses/LocalCapacityRequirementsProcess.aspx" TargetMode="External"/><Relationship Id="rId1" Type="http://schemas.openxmlformats.org/officeDocument/2006/relationships/hyperlink" Target="http://www.energy.ca.gov/assessments/ng_burner_tip.html" TargetMode="External"/><Relationship Id="rId4" Type="http://schemas.openxmlformats.org/officeDocument/2006/relationships/hyperlink" Target="http://www.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D3A50-306F-4FC6-B9E1-E9D967A54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4803</Words>
  <Characters>27380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Ortego, Jason</dc:creator>
  <cp:lastModifiedBy>Ortego, Jason</cp:lastModifiedBy>
  <cp:revision>3</cp:revision>
  <dcterms:created xsi:type="dcterms:W3CDTF">2018-05-24T22:58:00Z</dcterms:created>
  <dcterms:modified xsi:type="dcterms:W3CDTF">2018-05-24T22:58:00Z</dcterms:modified>
</cp:coreProperties>
</file>