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EE6C" w14:textId="24E89C67" w:rsidR="000414E2" w:rsidRPr="005444CF" w:rsidRDefault="00026B7F" w:rsidP="00026B7F">
      <w:pPr>
        <w:pStyle w:val="Heading1"/>
        <w:rPr>
          <w:rFonts w:cstheme="minorHAnsi"/>
        </w:rPr>
      </w:pPr>
      <w:r w:rsidRPr="005444CF">
        <w:rPr>
          <w:rFonts w:cstheme="minorHAnsi"/>
        </w:rPr>
        <w:t>General Information</w:t>
      </w:r>
    </w:p>
    <w:p w14:paraId="6274A54E" w14:textId="03B0B2D2" w:rsidR="0071177A" w:rsidRDefault="00325EC3">
      <w:r>
        <w:t>1. The CPUC Safety and Enforcement Division (</w:t>
      </w:r>
      <w:r w:rsidR="00F97D9A">
        <w:t>SED</w:t>
      </w:r>
      <w:r>
        <w:t xml:space="preserve">) developed the Post-Season Data Report </w:t>
      </w:r>
      <w:r w:rsidR="006710A0">
        <w:t xml:space="preserve">(PSDR) </w:t>
      </w:r>
      <w:r w:rsidR="00947B87">
        <w:t xml:space="preserve">template </w:t>
      </w:r>
      <w:r w:rsidR="00706E0E">
        <w:t xml:space="preserve">for electric Investor-Owned Utilities (IOUs) to report data describing </w:t>
      </w:r>
      <w:r w:rsidR="00947B87">
        <w:t>their</w:t>
      </w:r>
      <w:r w:rsidR="00706E0E">
        <w:t xml:space="preserve"> public safety power shutoffs (PSPS) </w:t>
      </w:r>
      <w:r w:rsidR="00947B87">
        <w:t>in calendar year 2021.</w:t>
      </w:r>
    </w:p>
    <w:p w14:paraId="359E215C" w14:textId="77777777" w:rsidR="00CF102E" w:rsidRDefault="00947B87">
      <w:r>
        <w:t>2. The template was made available on the Commission’s public website on or before December 30, 2021</w:t>
      </w:r>
      <w:r w:rsidR="00F97D9A">
        <w:t>.</w:t>
      </w:r>
    </w:p>
    <w:p w14:paraId="65B0294A" w14:textId="5A61CB37" w:rsidR="00947B87" w:rsidRDefault="00CF102E">
      <w:r>
        <w:t>3.</w:t>
      </w:r>
      <w:r w:rsidR="00F97D9A">
        <w:t xml:space="preserve"> IOUs must complete and submit the reports </w:t>
      </w:r>
      <w:r w:rsidR="007C563F">
        <w:t xml:space="preserve">based on the template </w:t>
      </w:r>
      <w:r w:rsidR="00F97D9A">
        <w:t>to SED by April 1, 2022.</w:t>
      </w:r>
      <w:r w:rsidR="007C563F">
        <w:t xml:space="preserve"> </w:t>
      </w:r>
    </w:p>
    <w:p w14:paraId="477D6AD5" w14:textId="2C5EB84E" w:rsidR="006710A0" w:rsidRDefault="006710A0">
      <w:r>
        <w:t>4. Submission files must be named according to the following convention:</w:t>
      </w:r>
    </w:p>
    <w:p w14:paraId="34F85C15" w14:textId="2F841476" w:rsidR="006710A0" w:rsidRDefault="006710A0" w:rsidP="006710A0">
      <w:pPr>
        <w:ind w:left="720"/>
        <w:contextualSpacing/>
      </w:pPr>
      <w:r>
        <w:t>syntax:</w:t>
      </w:r>
      <w:r>
        <w:tab/>
        <w:t>&lt;Utility Abbreviation&gt;_PSDR_&lt;Submission Date&gt;</w:t>
      </w:r>
    </w:p>
    <w:p w14:paraId="36F1640D" w14:textId="77777777" w:rsidR="006710A0" w:rsidRDefault="006710A0" w:rsidP="006710A0">
      <w:pPr>
        <w:ind w:left="720"/>
        <w:contextualSpacing/>
      </w:pPr>
      <w:r>
        <w:t>examples:</w:t>
      </w:r>
      <w:r>
        <w:tab/>
        <w:t>PGE_PSDR_4-1-2022</w:t>
      </w:r>
      <w:r>
        <w:tab/>
      </w:r>
      <w:r>
        <w:tab/>
      </w:r>
    </w:p>
    <w:p w14:paraId="159E26CD" w14:textId="77777777" w:rsidR="006710A0" w:rsidRDefault="006710A0" w:rsidP="006710A0">
      <w:pPr>
        <w:ind w:left="1440"/>
        <w:contextualSpacing/>
      </w:pPr>
      <w:r>
        <w:tab/>
        <w:t>PacifiCorp_PSDR_4-1-2022</w:t>
      </w:r>
      <w:r>
        <w:tab/>
      </w:r>
    </w:p>
    <w:p w14:paraId="4A1276F5" w14:textId="6F434B67" w:rsidR="006710A0" w:rsidRDefault="006710A0" w:rsidP="006710A0">
      <w:pPr>
        <w:ind w:left="1440"/>
        <w:contextualSpacing/>
      </w:pPr>
      <w:r>
        <w:tab/>
      </w:r>
    </w:p>
    <w:p w14:paraId="1570DAAD" w14:textId="20C7AB84" w:rsidR="007C563F" w:rsidRDefault="006710A0">
      <w:r>
        <w:t>5</w:t>
      </w:r>
      <w:r w:rsidR="007C563F">
        <w:t>. SED will post the public version of the report to the Commission website. Confidential versions will be kept within the confines of the CPUC.</w:t>
      </w:r>
    </w:p>
    <w:p w14:paraId="0200A802" w14:textId="04841653" w:rsidR="007C563F" w:rsidRDefault="006710A0">
      <w:r>
        <w:t>6</w:t>
      </w:r>
      <w:r w:rsidR="007C563F">
        <w:t xml:space="preserve">. </w:t>
      </w:r>
      <w:r w:rsidR="00D27257">
        <w:t>The reports and the template on which they are based are not required to be filed and served, and they are not subject to Party comments.</w:t>
      </w:r>
    </w:p>
    <w:p w14:paraId="5A592047" w14:textId="2EF836FD" w:rsidR="00150477" w:rsidRDefault="00150477">
      <w:r>
        <w:t>7. Do not merge cells in the workbook.</w:t>
      </w:r>
    </w:p>
    <w:p w14:paraId="6B9B85AE" w14:textId="4E3B0C41" w:rsidR="00026B7F" w:rsidRDefault="00D21F8B" w:rsidP="00026B7F">
      <w:pPr>
        <w:pStyle w:val="Heading1"/>
      </w:pPr>
      <w:r>
        <w:t xml:space="preserve">Workbook </w:t>
      </w:r>
      <w:r w:rsidR="000A7431">
        <w:t>Contents</w:t>
      </w:r>
    </w:p>
    <w:p w14:paraId="3594E71C" w14:textId="16959B62" w:rsidR="000A7431" w:rsidRPr="00C31033" w:rsidRDefault="000A7431" w:rsidP="00A86925">
      <w:pPr>
        <w:pStyle w:val="Heading2"/>
        <w:rPr>
          <w:vanish/>
          <w:specVanish/>
        </w:rPr>
      </w:pPr>
      <w:r>
        <w:t>Supporting Worksheets</w:t>
      </w:r>
    </w:p>
    <w:p w14:paraId="0B6352AE" w14:textId="4E21DA32" w:rsidR="00C31033" w:rsidRDefault="00CC14A9" w:rsidP="00026B7F">
      <w:pPr>
        <w:rPr>
          <w:rStyle w:val="Heading3Char"/>
        </w:rPr>
      </w:pPr>
      <w:r>
        <w:rPr>
          <w:rStyle w:val="Heading3Char"/>
        </w:rPr>
        <w:t xml:space="preserve">: </w:t>
      </w:r>
      <w:r w:rsidRPr="00CC14A9">
        <w:t>For Reference Only</w:t>
      </w:r>
    </w:p>
    <w:p w14:paraId="68B2CBA5" w14:textId="1A3C3AD2" w:rsidR="00026B7F" w:rsidRPr="006231C3" w:rsidRDefault="006231C3" w:rsidP="006231C3">
      <w:pPr>
        <w:rPr>
          <w:vanish/>
          <w:specVanish/>
        </w:rPr>
      </w:pPr>
      <w:r w:rsidRPr="00024186">
        <w:rPr>
          <w:rStyle w:val="Heading3Char"/>
        </w:rPr>
        <w:t xml:space="preserve">1. </w:t>
      </w:r>
      <w:r w:rsidR="00A86925" w:rsidRPr="00024186">
        <w:rPr>
          <w:rStyle w:val="Heading3Char"/>
        </w:rPr>
        <w:t>Instructions:</w:t>
      </w:r>
      <w:r w:rsidR="00A86925">
        <w:t xml:space="preserve"> </w:t>
      </w:r>
      <w:r w:rsidR="008523D8">
        <w:t xml:space="preserve">Basic instructions are also provided </w:t>
      </w:r>
      <w:r w:rsidR="00C7022D">
        <w:t>in the first (from left to right) worksheet, “Instructions”.</w:t>
      </w:r>
      <w:r w:rsidR="00A055CE">
        <w:t xml:space="preserve"> For complete instructions, please see the</w:t>
      </w:r>
      <w:r w:rsidR="00FF3746">
        <w:t xml:space="preserve"> individual worksheet instructions</w:t>
      </w:r>
      <w:r w:rsidR="00A055CE">
        <w:t xml:space="preserve"> below.</w:t>
      </w:r>
    </w:p>
    <w:p w14:paraId="61831128" w14:textId="77777777" w:rsidR="00C31033" w:rsidRPr="00024186" w:rsidRDefault="00C31033" w:rsidP="00651240">
      <w:pPr>
        <w:pStyle w:val="Heading3"/>
        <w:rPr>
          <w:vanish/>
          <w:specVanish/>
        </w:rPr>
      </w:pPr>
    </w:p>
    <w:p w14:paraId="04A3EA52" w14:textId="77777777" w:rsidR="00024186" w:rsidRDefault="00024186" w:rsidP="00651240">
      <w:pPr>
        <w:pStyle w:val="Heading3"/>
      </w:pPr>
      <w:r>
        <w:t xml:space="preserve"> </w:t>
      </w:r>
    </w:p>
    <w:p w14:paraId="38405583" w14:textId="65157E87" w:rsidR="00A86925" w:rsidRPr="00A055CE" w:rsidRDefault="006231C3" w:rsidP="00651240">
      <w:pPr>
        <w:pStyle w:val="Heading3"/>
        <w:rPr>
          <w:vanish/>
          <w:specVanish/>
        </w:rPr>
      </w:pPr>
      <w:r>
        <w:t xml:space="preserve">2. </w:t>
      </w:r>
      <w:r w:rsidR="00A055CE">
        <w:t>Acronyms:</w:t>
      </w:r>
    </w:p>
    <w:p w14:paraId="7926C73A" w14:textId="7CB8D574" w:rsidR="00A055CE" w:rsidRDefault="00A055CE" w:rsidP="00A055CE">
      <w:r>
        <w:t xml:space="preserve"> </w:t>
      </w:r>
      <w:r w:rsidR="00A50900">
        <w:t>Defines a</w:t>
      </w:r>
      <w:r w:rsidRPr="00A055CE">
        <w:t>cronyms used in the work</w:t>
      </w:r>
      <w:r>
        <w:t>book. This is not a glossary.</w:t>
      </w:r>
    </w:p>
    <w:p w14:paraId="56B1038B" w14:textId="705B7F5C" w:rsidR="00A055CE" w:rsidRPr="00A055CE" w:rsidRDefault="006231C3" w:rsidP="00651240">
      <w:pPr>
        <w:pStyle w:val="Heading3"/>
        <w:rPr>
          <w:vanish/>
          <w:specVanish/>
        </w:rPr>
      </w:pPr>
      <w:r>
        <w:t xml:space="preserve">3. </w:t>
      </w:r>
      <w:r w:rsidR="00644838" w:rsidRPr="00651240">
        <w:t>CPUC Definitions</w:t>
      </w:r>
      <w:r w:rsidR="008A1384" w:rsidRPr="00651240">
        <w:t xml:space="preserve">: </w:t>
      </w:r>
    </w:p>
    <w:p w14:paraId="1A97D3DD" w14:textId="6BD7F70C" w:rsidR="00A055CE" w:rsidRDefault="00A055CE" w:rsidP="00B36828">
      <w:r>
        <w:t xml:space="preserve"> </w:t>
      </w:r>
      <w:r w:rsidR="00A50900">
        <w:t>Defines t</w:t>
      </w:r>
      <w:r>
        <w:t xml:space="preserve">erms used in the workbook that are defined in Commission decisions or other regulation. </w:t>
      </w:r>
      <w:r w:rsidR="008A1384" w:rsidRPr="00651240">
        <w:t xml:space="preserve"> </w:t>
      </w:r>
    </w:p>
    <w:p w14:paraId="46199225" w14:textId="46D1AA89" w:rsidR="00CC14A9" w:rsidRPr="00A055CE" w:rsidRDefault="004617A9" w:rsidP="00CC14A9">
      <w:pPr>
        <w:pStyle w:val="Heading3"/>
        <w:rPr>
          <w:vanish/>
          <w:specVanish/>
        </w:rPr>
      </w:pPr>
      <w:r>
        <w:t>4</w:t>
      </w:r>
      <w:r w:rsidR="006231C3">
        <w:t xml:space="preserve">. </w:t>
      </w:r>
      <w:proofErr w:type="spellStart"/>
      <w:r w:rsidR="00820FED">
        <w:t>Defn</w:t>
      </w:r>
      <w:proofErr w:type="spellEnd"/>
      <w:r w:rsidR="00820FED">
        <w:t xml:space="preserve"> CFCI (</w:t>
      </w:r>
      <w:r w:rsidR="00CC14A9" w:rsidRPr="00651240">
        <w:t>Critical Facilities and Critical Infrastructure</w:t>
      </w:r>
      <w:r w:rsidR="00820FED">
        <w:t>)</w:t>
      </w:r>
      <w:r w:rsidR="00CC14A9" w:rsidRPr="00651240">
        <w:t>:</w:t>
      </w:r>
    </w:p>
    <w:p w14:paraId="5E087C77" w14:textId="77777777" w:rsidR="00CC14A9" w:rsidRDefault="00CC14A9" w:rsidP="00CC14A9">
      <w:r>
        <w:t xml:space="preserve"> Defines and groups CFCI in terms of Department of Homeland Security Sectors and CPUC decisions.</w:t>
      </w:r>
    </w:p>
    <w:p w14:paraId="069BD812" w14:textId="230AA908" w:rsidR="00CC14A9" w:rsidRPr="00A055CE" w:rsidRDefault="004617A9" w:rsidP="00CC14A9">
      <w:pPr>
        <w:pStyle w:val="Heading3"/>
        <w:rPr>
          <w:vanish/>
          <w:specVanish/>
        </w:rPr>
      </w:pPr>
      <w:r>
        <w:t>5</w:t>
      </w:r>
      <w:r w:rsidR="006231C3">
        <w:t xml:space="preserve">. </w:t>
      </w:r>
      <w:proofErr w:type="spellStart"/>
      <w:r w:rsidR="00820FED">
        <w:t>Defn</w:t>
      </w:r>
      <w:proofErr w:type="spellEnd"/>
      <w:r w:rsidR="00820FED">
        <w:t xml:space="preserve"> PSP (</w:t>
      </w:r>
      <w:r w:rsidR="00CC14A9" w:rsidRPr="00651240">
        <w:t>Public Safety Partners</w:t>
      </w:r>
      <w:r w:rsidR="00820FED">
        <w:t>)</w:t>
      </w:r>
      <w:r w:rsidR="00CC14A9" w:rsidRPr="00651240">
        <w:t>:</w:t>
      </w:r>
    </w:p>
    <w:p w14:paraId="23BCE12A" w14:textId="77777777" w:rsidR="00CC14A9" w:rsidRDefault="00CC14A9" w:rsidP="00CC14A9">
      <w:r>
        <w:t xml:space="preserve"> Consolidates and clarifies definitions of Public Safety Partner across several CPUC decisions.</w:t>
      </w:r>
    </w:p>
    <w:p w14:paraId="1C2C427A" w14:textId="2EDF53E8" w:rsidR="00820FED" w:rsidRPr="00A055CE" w:rsidRDefault="006231C3" w:rsidP="00820FED">
      <w:pPr>
        <w:pStyle w:val="Heading3"/>
        <w:rPr>
          <w:vanish/>
          <w:specVanish/>
        </w:rPr>
      </w:pPr>
      <w:r>
        <w:t xml:space="preserve">7. </w:t>
      </w:r>
      <w:r w:rsidR="00820FED" w:rsidRPr="00651240">
        <w:t>Data Dictionary:</w:t>
      </w:r>
    </w:p>
    <w:p w14:paraId="68FEFE7C" w14:textId="4100C1A3" w:rsidR="00820FED" w:rsidRDefault="00820FED" w:rsidP="00820FED">
      <w:r>
        <w:t xml:space="preserve"> </w:t>
      </w:r>
      <w:r w:rsidR="005302AF">
        <w:t>F</w:t>
      </w:r>
      <w:r>
        <w:t>or each metric used in the Dashboard</w:t>
      </w:r>
      <w:r w:rsidR="00FE4BAF">
        <w:t>, provides the following information</w:t>
      </w:r>
      <w:r>
        <w:t xml:space="preserve">: </w:t>
      </w:r>
      <w:r w:rsidRPr="00A50900">
        <w:t>Metric</w:t>
      </w:r>
      <w:r>
        <w:t xml:space="preserve">; </w:t>
      </w:r>
      <w:r w:rsidRPr="00A50900">
        <w:t>Field Description</w:t>
      </w:r>
      <w:r>
        <w:t xml:space="preserve">; </w:t>
      </w:r>
      <w:r w:rsidRPr="00A50900">
        <w:t>Field Type</w:t>
      </w:r>
      <w:r>
        <w:t xml:space="preserve">; </w:t>
      </w:r>
      <w:r w:rsidRPr="00A50900">
        <w:t>Example</w:t>
      </w:r>
      <w:r>
        <w:t xml:space="preserve">; </w:t>
      </w:r>
      <w:r w:rsidRPr="00A50900">
        <w:t>Notes/Calculations</w:t>
      </w:r>
      <w:r>
        <w:t>. The Data Dictionary is used to create the Dashboard.</w:t>
      </w:r>
    </w:p>
    <w:p w14:paraId="2E743ACA" w14:textId="77777777" w:rsidR="00820FED" w:rsidRDefault="00820FED" w:rsidP="006710A0">
      <w:pPr>
        <w:pStyle w:val="Heading2"/>
      </w:pPr>
    </w:p>
    <w:p w14:paraId="692D6FC3" w14:textId="77777777" w:rsidR="006710A0" w:rsidRPr="00C31033" w:rsidRDefault="006710A0" w:rsidP="006710A0">
      <w:pPr>
        <w:pStyle w:val="Heading2"/>
        <w:rPr>
          <w:vanish/>
          <w:specVanish/>
        </w:rPr>
      </w:pPr>
      <w:r>
        <w:t>Supporting Worksheets</w:t>
      </w:r>
    </w:p>
    <w:p w14:paraId="0F257485" w14:textId="5B5DEBBB" w:rsidR="006710A0" w:rsidRDefault="006710A0" w:rsidP="006710A0">
      <w:pPr>
        <w:rPr>
          <w:rStyle w:val="Heading3Char"/>
        </w:rPr>
      </w:pPr>
      <w:r>
        <w:rPr>
          <w:rStyle w:val="Heading3Char"/>
        </w:rPr>
        <w:t xml:space="preserve">: </w:t>
      </w:r>
      <w:r w:rsidR="00820FED">
        <w:t>To Be Completed by Utility</w:t>
      </w:r>
    </w:p>
    <w:p w14:paraId="7FE5ABD7" w14:textId="3EC7A68D" w:rsidR="00820FED" w:rsidRPr="000A1B78" w:rsidRDefault="009F236B" w:rsidP="00820FED">
      <w:pPr>
        <w:pStyle w:val="Heading3"/>
        <w:rPr>
          <w:vanish/>
          <w:specVanish/>
        </w:rPr>
      </w:pPr>
      <w:r w:rsidRPr="000A1B78">
        <w:lastRenderedPageBreak/>
        <w:t>6</w:t>
      </w:r>
      <w:r w:rsidR="006231C3" w:rsidRPr="000A1B78">
        <w:t xml:space="preserve">. </w:t>
      </w:r>
      <w:r w:rsidR="00820FED" w:rsidRPr="000A1B78">
        <w:t xml:space="preserve">Utility Definitions: </w:t>
      </w:r>
    </w:p>
    <w:p w14:paraId="28FE52F7" w14:textId="188C222C" w:rsidR="00820FED" w:rsidRDefault="00820FED" w:rsidP="00820FED">
      <w:r w:rsidRPr="000A1B78">
        <w:t xml:space="preserve"> Utility will define terms used in the workbook that </w:t>
      </w:r>
      <w:r w:rsidR="009F236B" w:rsidRPr="000A1B78">
        <w:t>are</w:t>
      </w:r>
      <w:r w:rsidRPr="000A1B78">
        <w:t xml:space="preserve"> included in the template and any additional terms used</w:t>
      </w:r>
      <w:r w:rsidR="00FE4BAF">
        <w:t xml:space="preserve"> </w:t>
      </w:r>
      <w:r w:rsidR="00685C38">
        <w:t>as noted below in the topical worksheets’ instructions</w:t>
      </w:r>
      <w:r w:rsidRPr="000A1B78">
        <w:t>.</w:t>
      </w:r>
      <w:r>
        <w:t xml:space="preserve"> </w:t>
      </w:r>
      <w:r w:rsidRPr="00651240">
        <w:t xml:space="preserve"> </w:t>
      </w:r>
    </w:p>
    <w:p w14:paraId="67034B56" w14:textId="77777777" w:rsidR="00EF0176" w:rsidRDefault="00EF0176" w:rsidP="005431EA">
      <w:pPr>
        <w:pStyle w:val="Heading2"/>
      </w:pPr>
    </w:p>
    <w:p w14:paraId="76D9B386" w14:textId="2DBF66AD" w:rsidR="005431EA" w:rsidRPr="00820FED" w:rsidRDefault="007F0D36" w:rsidP="005431EA">
      <w:pPr>
        <w:pStyle w:val="Heading2"/>
        <w:rPr>
          <w:vanish/>
          <w:specVanish/>
        </w:rPr>
      </w:pPr>
      <w:r>
        <w:t>Summary</w:t>
      </w:r>
      <w:r w:rsidR="00AE3557">
        <w:t xml:space="preserve"> Worksheet</w:t>
      </w:r>
      <w:r w:rsidR="00820FED">
        <w:t>:</w:t>
      </w:r>
    </w:p>
    <w:p w14:paraId="50961901" w14:textId="6611F99F" w:rsidR="00820FED" w:rsidRDefault="00820FED" w:rsidP="00820FED">
      <w:r>
        <w:t xml:space="preserve"> To Be Completed by Utility</w:t>
      </w:r>
    </w:p>
    <w:p w14:paraId="042C84DA" w14:textId="6661B9BF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8. </w:t>
      </w:r>
      <w:r w:rsidR="00644838" w:rsidRPr="00651240">
        <w:t>Dashboard</w:t>
      </w:r>
      <w:r w:rsidR="008A1384" w:rsidRPr="00651240">
        <w:t xml:space="preserve">:  </w:t>
      </w:r>
    </w:p>
    <w:p w14:paraId="1190BCCF" w14:textId="1D4562CA" w:rsidR="007F0D36" w:rsidRPr="00820FED" w:rsidRDefault="00A50900" w:rsidP="008A1384">
      <w:pPr>
        <w:rPr>
          <w:vanish/>
          <w:specVanish/>
        </w:rPr>
      </w:pPr>
      <w:r>
        <w:t xml:space="preserve"> Pr</w:t>
      </w:r>
      <w:r w:rsidR="0082349A">
        <w:t>esents</w:t>
      </w:r>
      <w:r>
        <w:t xml:space="preserve"> summary data for each event in all aspects of PSPS</w:t>
      </w:r>
      <w:r w:rsidR="00D04776">
        <w:t xml:space="preserve"> in 2021</w:t>
      </w:r>
      <w:r>
        <w:t xml:space="preserve">. </w:t>
      </w:r>
    </w:p>
    <w:p w14:paraId="4EB7A4DB" w14:textId="77777777" w:rsidR="006E5FF0" w:rsidRDefault="00820FED" w:rsidP="00CC14A9">
      <w:pPr>
        <w:pStyle w:val="Heading4"/>
      </w:pPr>
      <w:r>
        <w:t xml:space="preserve"> </w:t>
      </w:r>
    </w:p>
    <w:p w14:paraId="70B280DE" w14:textId="763C54D3" w:rsidR="00CC14A9" w:rsidRPr="000D15EE" w:rsidRDefault="00CC14A9" w:rsidP="00CC14A9">
      <w:pPr>
        <w:pStyle w:val="Heading4"/>
        <w:rPr>
          <w:specVanish/>
        </w:rPr>
      </w:pPr>
      <w:r>
        <w:t xml:space="preserve">Instructions: </w:t>
      </w:r>
    </w:p>
    <w:p w14:paraId="0AE4CFD9" w14:textId="77777777" w:rsidR="000D15EE" w:rsidRDefault="000D15EE" w:rsidP="000D15EE">
      <w:pPr>
        <w:pStyle w:val="ListParagraph"/>
        <w:numPr>
          <w:ilvl w:val="0"/>
          <w:numId w:val="1"/>
        </w:numPr>
      </w:pPr>
      <w:r>
        <w:t xml:space="preserve">Ungroup the rows of metrics to input data for each PSPS event. </w:t>
      </w:r>
    </w:p>
    <w:p w14:paraId="1E7D2E49" w14:textId="397DC6D3" w:rsidR="000D15EE" w:rsidRDefault="006E5FF0" w:rsidP="000D15EE">
      <w:pPr>
        <w:pStyle w:val="ListParagraph"/>
        <w:numPr>
          <w:ilvl w:val="0"/>
          <w:numId w:val="1"/>
        </w:numPr>
      </w:pPr>
      <w:r>
        <w:t xml:space="preserve">Enter the </w:t>
      </w:r>
      <w:r w:rsidR="000C2EBF">
        <w:t>Event Name</w:t>
      </w:r>
      <w:r>
        <w:t xml:space="preserve"> for each PSPS event in Row </w:t>
      </w:r>
      <w:r w:rsidR="000C2EBF">
        <w:t>4</w:t>
      </w:r>
      <w:r>
        <w:t>, starting in Column C</w:t>
      </w:r>
      <w:r w:rsidR="000C2EBF">
        <w:t xml:space="preserve">, as shown in the table </w:t>
      </w:r>
      <w:r w:rsidR="002326FD">
        <w:t>of events in the Instructions worksheet.</w:t>
      </w:r>
      <w:r>
        <w:t xml:space="preserve"> </w:t>
      </w:r>
    </w:p>
    <w:p w14:paraId="5CA0FC08" w14:textId="43655FB1" w:rsidR="0082349A" w:rsidRDefault="006E5FF0" w:rsidP="000D15EE">
      <w:pPr>
        <w:pStyle w:val="ListParagraph"/>
        <w:numPr>
          <w:ilvl w:val="0"/>
          <w:numId w:val="1"/>
        </w:numPr>
      </w:pPr>
      <w:r>
        <w:t>Delete unused columns</w:t>
      </w:r>
      <w:r w:rsidR="000D15EE">
        <w:t>, leaving the Trendlines and Annual or Cumulative Total columns intact</w:t>
      </w:r>
      <w:r>
        <w:t xml:space="preserve">. </w:t>
      </w:r>
    </w:p>
    <w:p w14:paraId="2314D37B" w14:textId="7101E8C7" w:rsidR="000D15EE" w:rsidRDefault="000D15EE" w:rsidP="000D15EE">
      <w:pPr>
        <w:pStyle w:val="ListParagraph"/>
        <w:numPr>
          <w:ilvl w:val="0"/>
          <w:numId w:val="1"/>
        </w:numPr>
      </w:pPr>
      <w:r>
        <w:t xml:space="preserve">Enter data into each cell for the metric and the event. </w:t>
      </w:r>
    </w:p>
    <w:p w14:paraId="714C04FD" w14:textId="1954D7A9" w:rsidR="000D15EE" w:rsidRDefault="000D15EE" w:rsidP="000D15EE">
      <w:pPr>
        <w:pStyle w:val="ListParagraph"/>
        <w:numPr>
          <w:ilvl w:val="0"/>
          <w:numId w:val="1"/>
        </w:numPr>
      </w:pPr>
      <w:r>
        <w:t>Column B provides an example of how event length in days and hours is calculated</w:t>
      </w:r>
      <w:r w:rsidR="003A68D8">
        <w:t xml:space="preserve"> with data entered into rows 5-10</w:t>
      </w:r>
      <w:r>
        <w:t>.</w:t>
      </w:r>
    </w:p>
    <w:p w14:paraId="18F5670C" w14:textId="09EBAF1D" w:rsidR="000D15EE" w:rsidRDefault="000D15EE" w:rsidP="000D15EE">
      <w:pPr>
        <w:pStyle w:val="ListParagraph"/>
        <w:numPr>
          <w:ilvl w:val="0"/>
          <w:numId w:val="1"/>
        </w:numPr>
      </w:pPr>
      <w:r>
        <w:t>Cells in Rows 9 and 10 have formulas in them that will auto</w:t>
      </w:r>
      <w:r w:rsidR="00D04776">
        <w:t xml:space="preserve"> </w:t>
      </w:r>
      <w:r>
        <w:t>populate if cells in Rows 5-8 are properly populated.</w:t>
      </w:r>
    </w:p>
    <w:p w14:paraId="59AEF0CC" w14:textId="2758B67A" w:rsidR="000D15EE" w:rsidRDefault="000D15EE" w:rsidP="000D15EE">
      <w:pPr>
        <w:pStyle w:val="ListParagraph"/>
        <w:numPr>
          <w:ilvl w:val="0"/>
          <w:numId w:val="1"/>
        </w:numPr>
      </w:pPr>
      <w:r>
        <w:t xml:space="preserve">All other cells require direct input. </w:t>
      </w:r>
    </w:p>
    <w:p w14:paraId="689A0837" w14:textId="77777777" w:rsidR="00EF0176" w:rsidRDefault="00EF0176" w:rsidP="007F0D36">
      <w:pPr>
        <w:pStyle w:val="Heading2"/>
      </w:pPr>
    </w:p>
    <w:p w14:paraId="16BBE8CE" w14:textId="38D38686" w:rsidR="007F0D36" w:rsidRPr="00026B7F" w:rsidRDefault="007C5AA7" w:rsidP="007F0D36">
      <w:pPr>
        <w:pStyle w:val="Heading2"/>
      </w:pPr>
      <w:r>
        <w:t>Topical Worksheet</w:t>
      </w:r>
      <w:r w:rsidR="00AE3557">
        <w:t>s</w:t>
      </w:r>
    </w:p>
    <w:p w14:paraId="585FC8AB" w14:textId="4E1FC860" w:rsidR="005A7805" w:rsidRPr="00A055CE" w:rsidRDefault="006231C3" w:rsidP="005A7805">
      <w:pPr>
        <w:pStyle w:val="Heading3"/>
        <w:rPr>
          <w:vanish/>
          <w:specVanish/>
        </w:rPr>
      </w:pPr>
      <w:r>
        <w:t xml:space="preserve">9. </w:t>
      </w:r>
      <w:r w:rsidR="005A7805" w:rsidRPr="00651240">
        <w:t>D</w:t>
      </w:r>
      <w:r w:rsidR="005A7805">
        <w:t>ecision Factors</w:t>
      </w:r>
      <w:r w:rsidR="005A7805" w:rsidRPr="00651240">
        <w:t xml:space="preserve">:  </w:t>
      </w:r>
    </w:p>
    <w:p w14:paraId="6DA23B6F" w14:textId="77777777" w:rsidR="005A7805" w:rsidRDefault="005A7805" w:rsidP="005A7805">
      <w:r>
        <w:t xml:space="preserve"> Presents detailed information on each circuit de-energized for each event. </w:t>
      </w:r>
    </w:p>
    <w:p w14:paraId="03CF0012" w14:textId="77777777" w:rsidR="005A7805" w:rsidRPr="00CC14A9" w:rsidRDefault="005A7805" w:rsidP="005A7805">
      <w:pPr>
        <w:pStyle w:val="Heading4"/>
        <w:rPr>
          <w:vanish/>
          <w:specVanish/>
        </w:rPr>
      </w:pPr>
      <w:r>
        <w:t xml:space="preserve">Instructions: </w:t>
      </w:r>
    </w:p>
    <w:p w14:paraId="518E0720" w14:textId="77777777" w:rsidR="000D15EE" w:rsidRDefault="000D15EE" w:rsidP="005A7805">
      <w:pPr>
        <w:pStyle w:val="Heading4"/>
      </w:pPr>
    </w:p>
    <w:p w14:paraId="37427800" w14:textId="56AC8BFF" w:rsidR="005A7805" w:rsidRDefault="00382D03" w:rsidP="000D15EE">
      <w:pPr>
        <w:pStyle w:val="ListParagraph"/>
        <w:numPr>
          <w:ilvl w:val="0"/>
          <w:numId w:val="3"/>
        </w:numPr>
      </w:pPr>
      <w:r>
        <w:t>Populate rows in order of event date, oldest to newest, then by circuit, distribution then transmission.</w:t>
      </w:r>
    </w:p>
    <w:p w14:paraId="34839638" w14:textId="39C3A1AF" w:rsidR="00382D03" w:rsidRDefault="00382D03" w:rsidP="000D15EE">
      <w:pPr>
        <w:pStyle w:val="ListParagraph"/>
        <w:numPr>
          <w:ilvl w:val="0"/>
          <w:numId w:val="3"/>
        </w:numPr>
      </w:pPr>
      <w:r>
        <w:t xml:space="preserve">For each circuit/line, populate the cells for </w:t>
      </w:r>
      <w:r w:rsidR="00CE1C60">
        <w:t>the decision factor groups.</w:t>
      </w:r>
    </w:p>
    <w:p w14:paraId="211E96EF" w14:textId="0E3C1A66" w:rsidR="00CE1C60" w:rsidRDefault="00CE1C60" w:rsidP="000D15EE">
      <w:pPr>
        <w:pStyle w:val="ListParagraph"/>
        <w:numPr>
          <w:ilvl w:val="0"/>
          <w:numId w:val="3"/>
        </w:numPr>
      </w:pPr>
      <w:r>
        <w:t>If a particular factor was</w:t>
      </w:r>
      <w:r w:rsidR="009C57C8">
        <w:t xml:space="preserve"> neither</w:t>
      </w:r>
      <w:r>
        <w:t xml:space="preserve"> considered either individually </w:t>
      </w:r>
      <w:r w:rsidR="009C57C8">
        <w:t>n</w:t>
      </w:r>
      <w:r>
        <w:t>or as a component in another calculation, enter “NA</w:t>
      </w:r>
      <w:r w:rsidR="0023335F">
        <w:t>”.</w:t>
      </w:r>
    </w:p>
    <w:p w14:paraId="691B8749" w14:textId="39B162D3" w:rsidR="0023335F" w:rsidRDefault="0023335F" w:rsidP="000D15EE">
      <w:pPr>
        <w:pStyle w:val="ListParagraph"/>
        <w:numPr>
          <w:ilvl w:val="0"/>
          <w:numId w:val="3"/>
        </w:numPr>
      </w:pPr>
      <w:r>
        <w:t>Enter values without units</w:t>
      </w:r>
      <w:r w:rsidR="003F6103">
        <w:t xml:space="preserve"> of measure</w:t>
      </w:r>
      <w:r>
        <w:t xml:space="preserve">, </w:t>
      </w:r>
      <w:r w:rsidR="003F6103">
        <w:t>for example</w:t>
      </w:r>
      <w:r>
        <w:t xml:space="preserve">, </w:t>
      </w:r>
      <w:r w:rsidR="003F6103">
        <w:t>“</w:t>
      </w:r>
      <w:r>
        <w:t>8</w:t>
      </w:r>
      <w:r w:rsidR="003F6103">
        <w:t>”</w:t>
      </w:r>
      <w:r>
        <w:t xml:space="preserve"> versus </w:t>
      </w:r>
      <w:r w:rsidR="003F6103">
        <w:t>“</w:t>
      </w:r>
      <w:r>
        <w:t>8%</w:t>
      </w:r>
      <w:r w:rsidR="003F6103">
        <w:t>” when describing relative humidity.</w:t>
      </w:r>
    </w:p>
    <w:p w14:paraId="5F2C174D" w14:textId="15F7670E" w:rsidR="003F6103" w:rsidRDefault="003F6103" w:rsidP="000D15EE">
      <w:pPr>
        <w:pStyle w:val="ListParagraph"/>
        <w:numPr>
          <w:ilvl w:val="0"/>
          <w:numId w:val="3"/>
        </w:numPr>
      </w:pPr>
      <w:r>
        <w:t xml:space="preserve">For each metric or index </w:t>
      </w:r>
      <w:r w:rsidR="009A460D">
        <w:t>for which you provide a value</w:t>
      </w:r>
      <w:r>
        <w:t>, define in “Utility Definition</w:t>
      </w:r>
      <w:r w:rsidR="002A25DF">
        <w:t>s</w:t>
      </w:r>
      <w:r>
        <w:t>” worksheet</w:t>
      </w:r>
      <w:r w:rsidR="00864EE8">
        <w:t xml:space="preserve"> by</w:t>
      </w:r>
      <w:r w:rsidR="004A2AA0">
        <w:t xml:space="preserve"> provid</w:t>
      </w:r>
      <w:r w:rsidR="00864EE8">
        <w:t>ing</w:t>
      </w:r>
      <w:r w:rsidR="004A2AA0">
        <w:t xml:space="preserve"> a brief explanation of the source of the value, </w:t>
      </w:r>
      <w:r w:rsidR="00A16BDE" w:rsidRPr="00A16BDE">
        <w:t>units of measure</w:t>
      </w:r>
      <w:r w:rsidR="00A16BDE">
        <w:t>, and t</w:t>
      </w:r>
      <w:r w:rsidR="00A16BDE" w:rsidRPr="00A16BDE">
        <w:t>hresholds considered significant</w:t>
      </w:r>
      <w:r w:rsidR="00A16BDE">
        <w:t xml:space="preserve">. For example, for temperature, </w:t>
      </w:r>
      <w:r w:rsidR="00864EE8">
        <w:t xml:space="preserve">enter, “NWS, degrees </w:t>
      </w:r>
      <w:r w:rsidR="002F3142">
        <w:t>Fahrenheit</w:t>
      </w:r>
      <w:r w:rsidR="00864EE8">
        <w:t>, 80”.</w:t>
      </w:r>
    </w:p>
    <w:p w14:paraId="78A00D93" w14:textId="4F3951B6" w:rsidR="001E4239" w:rsidRDefault="00933D4C" w:rsidP="000D15EE">
      <w:pPr>
        <w:pStyle w:val="ListParagraph"/>
        <w:numPr>
          <w:ilvl w:val="0"/>
          <w:numId w:val="3"/>
        </w:numPr>
      </w:pPr>
      <w:r>
        <w:t>Populate the fields, “List Other Index” or “List Model” with your utility-specific index or model, provide the value, and explain the source of the value, units of measure, and thresholds considered significant in the “Utility Definition</w:t>
      </w:r>
      <w:r w:rsidR="002A25DF">
        <w:t>s</w:t>
      </w:r>
      <w:r>
        <w:t>” worksheet.</w:t>
      </w:r>
    </w:p>
    <w:p w14:paraId="00E16CDF" w14:textId="5B044CAE" w:rsidR="00091B26" w:rsidRPr="00820FED" w:rsidRDefault="00091B26" w:rsidP="000D15EE">
      <w:pPr>
        <w:pStyle w:val="ListParagraph"/>
        <w:numPr>
          <w:ilvl w:val="0"/>
          <w:numId w:val="3"/>
        </w:numPr>
      </w:pPr>
      <w:r>
        <w:t>Note that Group A is Forecast and Reported Meteorology, whereas Group D is Actual Meteorology</w:t>
      </w:r>
      <w:r w:rsidR="00866322">
        <w:t>.</w:t>
      </w:r>
    </w:p>
    <w:p w14:paraId="45A61F54" w14:textId="77777777" w:rsidR="00EF0176" w:rsidRDefault="00EF0176" w:rsidP="00651240">
      <w:pPr>
        <w:pStyle w:val="Heading3"/>
      </w:pPr>
    </w:p>
    <w:p w14:paraId="5778FC98" w14:textId="42F82B68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10. </w:t>
      </w:r>
      <w:r w:rsidR="00D747C7" w:rsidRPr="00651240">
        <w:t>Distribution</w:t>
      </w:r>
      <w:r w:rsidR="008A1384" w:rsidRPr="00651240">
        <w:t xml:space="preserve">:  </w:t>
      </w:r>
    </w:p>
    <w:p w14:paraId="2289EB4E" w14:textId="1C9D35C6" w:rsidR="00A055CE" w:rsidRDefault="00A055CE" w:rsidP="0082349A">
      <w:r>
        <w:t xml:space="preserve"> </w:t>
      </w:r>
      <w:r w:rsidR="0082349A">
        <w:t xml:space="preserve">Presents detailed information on each circuit de-energized for each event. </w:t>
      </w:r>
    </w:p>
    <w:p w14:paraId="0D958B43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D0C4F8C" w14:textId="1E001002" w:rsidR="00CC14A9" w:rsidRDefault="00CC14A9" w:rsidP="00CC14A9">
      <w:pPr>
        <w:pStyle w:val="Heading4"/>
      </w:pPr>
      <w:r>
        <w:t xml:space="preserve"> </w:t>
      </w:r>
    </w:p>
    <w:p w14:paraId="6A189E7E" w14:textId="0C947A17" w:rsidR="007F30D6" w:rsidRDefault="007F30D6" w:rsidP="007F30D6">
      <w:pPr>
        <w:pStyle w:val="ListParagraph"/>
        <w:numPr>
          <w:ilvl w:val="0"/>
          <w:numId w:val="5"/>
        </w:numPr>
      </w:pPr>
      <w:r>
        <w:t>Populate rows in order of event date, oldest to newest, then by circuit.</w:t>
      </w:r>
    </w:p>
    <w:p w14:paraId="4D854427" w14:textId="59680A6A" w:rsidR="007F30D6" w:rsidRDefault="007F30D6" w:rsidP="007F30D6">
      <w:pPr>
        <w:pStyle w:val="ListParagraph"/>
        <w:numPr>
          <w:ilvl w:val="0"/>
          <w:numId w:val="5"/>
        </w:numPr>
      </w:pPr>
      <w:r>
        <w:lastRenderedPageBreak/>
        <w:t xml:space="preserve">For each circuit, populate the cells for the </w:t>
      </w:r>
      <w:r w:rsidR="00A55E00">
        <w:t>column fields</w:t>
      </w:r>
      <w:r>
        <w:t>.</w:t>
      </w:r>
    </w:p>
    <w:p w14:paraId="0372E483" w14:textId="3AD291E6" w:rsidR="007633B0" w:rsidRDefault="007F30D6" w:rsidP="007633B0">
      <w:pPr>
        <w:pStyle w:val="ListParagraph"/>
        <w:numPr>
          <w:ilvl w:val="0"/>
          <w:numId w:val="5"/>
        </w:numPr>
      </w:pPr>
      <w:r>
        <w:t>Only the de-energized portion of the circuit (whether mitigated or not, i.e., that portion that is off the grid)</w:t>
      </w:r>
      <w:r w:rsidR="003973B7">
        <w:t xml:space="preserve"> is counted in line miles.</w:t>
      </w:r>
    </w:p>
    <w:p w14:paraId="3B340643" w14:textId="18C2E073" w:rsidR="003973B7" w:rsidRDefault="003973B7" w:rsidP="007633B0">
      <w:pPr>
        <w:pStyle w:val="ListParagraph"/>
        <w:numPr>
          <w:ilvl w:val="0"/>
          <w:numId w:val="5"/>
        </w:numPr>
      </w:pPr>
      <w:r>
        <w:t xml:space="preserve">Days de-energized is calculated </w:t>
      </w:r>
      <w:r w:rsidR="000369A0">
        <w:t xml:space="preserve">as a fraction to the tenth, i.e. 36 hours is 1.5 days. </w:t>
      </w:r>
      <w:r w:rsidR="00C65E02">
        <w:t xml:space="preserve"> Hours are in integer form. </w:t>
      </w:r>
    </w:p>
    <w:p w14:paraId="0729564D" w14:textId="1CABF640" w:rsidR="00C65E02" w:rsidRDefault="00C65E02" w:rsidP="007633B0">
      <w:pPr>
        <w:pStyle w:val="ListParagraph"/>
        <w:numPr>
          <w:ilvl w:val="0"/>
          <w:numId w:val="5"/>
        </w:numPr>
      </w:pPr>
      <w:r>
        <w:t>Total customers actually de-energized, i.e., those off the grid</w:t>
      </w:r>
      <w:r w:rsidR="00A5525F">
        <w:t>.</w:t>
      </w:r>
    </w:p>
    <w:p w14:paraId="0C12C307" w14:textId="7351ECCE" w:rsidR="00A5525F" w:rsidRPr="007633B0" w:rsidRDefault="00A5525F" w:rsidP="007633B0">
      <w:pPr>
        <w:pStyle w:val="ListParagraph"/>
        <w:numPr>
          <w:ilvl w:val="0"/>
          <w:numId w:val="5"/>
        </w:numPr>
      </w:pPr>
      <w:r>
        <w:t>For Column R, enter all corporate Communications Service Providers (CSP) whose facilities were on the de-energized circuit for the event in question.</w:t>
      </w:r>
    </w:p>
    <w:p w14:paraId="748ACB4F" w14:textId="77777777" w:rsidR="00F12B02" w:rsidRDefault="00F12B02" w:rsidP="00651240">
      <w:pPr>
        <w:pStyle w:val="Heading3"/>
      </w:pPr>
    </w:p>
    <w:p w14:paraId="470FB1AE" w14:textId="58529E2B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11. </w:t>
      </w:r>
      <w:r w:rsidR="00D747C7" w:rsidRPr="00651240">
        <w:t>Transmission</w:t>
      </w:r>
      <w:r w:rsidR="008A1384" w:rsidRPr="00651240">
        <w:t xml:space="preserve">:  </w:t>
      </w:r>
    </w:p>
    <w:p w14:paraId="0D9AF88B" w14:textId="035D590C" w:rsidR="00A055CE" w:rsidRDefault="00A055CE" w:rsidP="0082349A">
      <w:r>
        <w:t xml:space="preserve"> </w:t>
      </w:r>
      <w:r w:rsidR="0082349A">
        <w:t>Presents detailed information on each transmission line de-energized for each event.</w:t>
      </w:r>
    </w:p>
    <w:p w14:paraId="730902A2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BB70660" w14:textId="77777777" w:rsidR="00CC14A9" w:rsidRP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20C8ED2E" w14:textId="3E770D90" w:rsidR="00805C81" w:rsidRDefault="00805C81" w:rsidP="00805C81">
      <w:pPr>
        <w:pStyle w:val="ListParagraph"/>
        <w:numPr>
          <w:ilvl w:val="0"/>
          <w:numId w:val="6"/>
        </w:numPr>
      </w:pPr>
      <w:r>
        <w:t>Populate rows in order of event date, oldest to newest, then by transmission line.</w:t>
      </w:r>
    </w:p>
    <w:p w14:paraId="573FCFFB" w14:textId="59BDFECF" w:rsidR="00805C81" w:rsidRDefault="00805C81" w:rsidP="00805C81">
      <w:pPr>
        <w:pStyle w:val="ListParagraph"/>
        <w:numPr>
          <w:ilvl w:val="0"/>
          <w:numId w:val="6"/>
        </w:numPr>
      </w:pPr>
      <w:r>
        <w:t xml:space="preserve">For each line, populate the cells for the </w:t>
      </w:r>
      <w:r w:rsidR="00A55E00">
        <w:t>column fields</w:t>
      </w:r>
      <w:r>
        <w:t>.</w:t>
      </w:r>
    </w:p>
    <w:p w14:paraId="461ABAF5" w14:textId="77777777" w:rsidR="00805C81" w:rsidRDefault="00805C81" w:rsidP="00805C81">
      <w:pPr>
        <w:pStyle w:val="ListParagraph"/>
        <w:numPr>
          <w:ilvl w:val="0"/>
          <w:numId w:val="6"/>
        </w:numPr>
      </w:pPr>
      <w:r>
        <w:t>Only the de-energized portion of the circuit (whether mitigated or not, i.e., that portion that is off the grid) is counted in line miles.</w:t>
      </w:r>
    </w:p>
    <w:p w14:paraId="0A831CA1" w14:textId="77777777" w:rsidR="00805C81" w:rsidRDefault="00805C81" w:rsidP="00805C81">
      <w:pPr>
        <w:pStyle w:val="ListParagraph"/>
        <w:numPr>
          <w:ilvl w:val="0"/>
          <w:numId w:val="6"/>
        </w:numPr>
      </w:pPr>
      <w:r>
        <w:t xml:space="preserve">Days de-energized is calculated as a fraction to the tenth, i.e. 36 hours is 1.5 days.  Hours are in integer form. </w:t>
      </w:r>
    </w:p>
    <w:p w14:paraId="62EDF4DF" w14:textId="77777777" w:rsidR="00805C81" w:rsidRDefault="00805C81" w:rsidP="00805C81">
      <w:pPr>
        <w:pStyle w:val="ListParagraph"/>
        <w:numPr>
          <w:ilvl w:val="0"/>
          <w:numId w:val="6"/>
        </w:numPr>
      </w:pPr>
      <w:r>
        <w:t>Total customers actually de-energized, i.e., those off the grid.</w:t>
      </w:r>
    </w:p>
    <w:p w14:paraId="65F17083" w14:textId="77777777" w:rsidR="00EF0176" w:rsidRDefault="00EF0176" w:rsidP="00651240">
      <w:pPr>
        <w:pStyle w:val="Heading3"/>
      </w:pPr>
    </w:p>
    <w:p w14:paraId="2D910B38" w14:textId="6FF004B4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12. </w:t>
      </w:r>
      <w:r w:rsidR="00D747C7" w:rsidRPr="00651240">
        <w:t>Counties</w:t>
      </w:r>
      <w:r w:rsidR="008A1384" w:rsidRPr="00651240">
        <w:t xml:space="preserve">:  </w:t>
      </w:r>
    </w:p>
    <w:p w14:paraId="081CCF0C" w14:textId="0877E743" w:rsidR="00A055CE" w:rsidRDefault="00A055CE" w:rsidP="0082349A">
      <w:r>
        <w:t xml:space="preserve"> </w:t>
      </w:r>
      <w:r w:rsidR="0082349A">
        <w:t xml:space="preserve">Presents detailed information about </w:t>
      </w:r>
      <w:r w:rsidR="008A55AF">
        <w:t xml:space="preserve">number of customers de-energized and the maximum length of the event </w:t>
      </w:r>
      <w:r w:rsidR="0082349A">
        <w:t xml:space="preserve">in each county for each event. </w:t>
      </w:r>
    </w:p>
    <w:p w14:paraId="794AD4D7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46D44333" w14:textId="4212D885" w:rsidR="00CC14A9" w:rsidRDefault="00CC14A9" w:rsidP="00CC14A9">
      <w:pPr>
        <w:pStyle w:val="Heading4"/>
      </w:pPr>
      <w:r>
        <w:t xml:space="preserve"> </w:t>
      </w:r>
    </w:p>
    <w:p w14:paraId="35A3D8BB" w14:textId="1606EABC" w:rsidR="00F12B02" w:rsidRDefault="00EF0176" w:rsidP="00EF0176">
      <w:pPr>
        <w:pStyle w:val="ListParagraph"/>
        <w:numPr>
          <w:ilvl w:val="0"/>
          <w:numId w:val="7"/>
        </w:numPr>
      </w:pPr>
      <w:r>
        <w:t>Populate rows in order of event date, oldest to newest</w:t>
      </w:r>
      <w:r w:rsidR="00BC6024">
        <w:t>.</w:t>
      </w:r>
    </w:p>
    <w:p w14:paraId="3A440DA0" w14:textId="7596F963" w:rsidR="00EF0176" w:rsidRDefault="00BC6024" w:rsidP="00EF0176">
      <w:pPr>
        <w:pStyle w:val="ListParagraph"/>
        <w:numPr>
          <w:ilvl w:val="0"/>
          <w:numId w:val="7"/>
        </w:numPr>
      </w:pPr>
      <w:r>
        <w:t>Populate one row for each county de-energized for each event</w:t>
      </w:r>
      <w:r w:rsidR="00EF0176">
        <w:t>.</w:t>
      </w:r>
    </w:p>
    <w:p w14:paraId="5FCB9102" w14:textId="566ED252" w:rsidR="00EF0176" w:rsidRDefault="00870D27" w:rsidP="00EF0176">
      <w:pPr>
        <w:pStyle w:val="ListParagraph"/>
        <w:numPr>
          <w:ilvl w:val="0"/>
          <w:numId w:val="7"/>
        </w:numPr>
      </w:pPr>
      <w:r>
        <w:t xml:space="preserve">Beginning </w:t>
      </w:r>
      <w:r w:rsidR="004968E7">
        <w:t>d</w:t>
      </w:r>
      <w:r w:rsidR="00331CB9">
        <w:t xml:space="preserve">ate and </w:t>
      </w:r>
      <w:r w:rsidR="004968E7">
        <w:t>t</w:t>
      </w:r>
      <w:r w:rsidR="00331CB9">
        <w:t xml:space="preserve">ime de-energized means that </w:t>
      </w:r>
      <w:r w:rsidR="00C20226">
        <w:t>one or more circuits were the first to be de-energized within county boundaries</w:t>
      </w:r>
      <w:r w:rsidR="00AD1DCF">
        <w:t xml:space="preserve"> during the event. Ending date and time reenergized means </w:t>
      </w:r>
      <w:r w:rsidR="004968E7">
        <w:t>the last circuits reenergized within county boundaries during the event.</w:t>
      </w:r>
    </w:p>
    <w:p w14:paraId="74876F46" w14:textId="233BCD7E" w:rsidR="004968E7" w:rsidRDefault="004968E7" w:rsidP="00EF0176">
      <w:pPr>
        <w:pStyle w:val="ListParagraph"/>
        <w:numPr>
          <w:ilvl w:val="0"/>
          <w:numId w:val="7"/>
        </w:numPr>
      </w:pPr>
      <w:r>
        <w:t>The maximum hours de-energized is the difference between the beginning and ending date/times in hours. Divide hours by 24 to calculate the number of days in fractions to the tenth.</w:t>
      </w:r>
    </w:p>
    <w:p w14:paraId="30F5DF60" w14:textId="77777777" w:rsidR="00EF0176" w:rsidRDefault="00EF0176" w:rsidP="00EF0176">
      <w:pPr>
        <w:pStyle w:val="ListParagraph"/>
        <w:numPr>
          <w:ilvl w:val="0"/>
          <w:numId w:val="7"/>
        </w:numPr>
      </w:pPr>
      <w:r>
        <w:t>Total customers actually de-energized, i.e., those off the grid.</w:t>
      </w:r>
    </w:p>
    <w:p w14:paraId="2774B2B2" w14:textId="77777777" w:rsidR="00EF0176" w:rsidRDefault="00EF0176" w:rsidP="00651240">
      <w:pPr>
        <w:pStyle w:val="Heading3"/>
      </w:pPr>
    </w:p>
    <w:p w14:paraId="25E11536" w14:textId="7A764CFE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13. </w:t>
      </w:r>
      <w:r w:rsidR="00D747C7" w:rsidRPr="00651240">
        <w:t>Tribes</w:t>
      </w:r>
      <w:r w:rsidR="008A1384" w:rsidRPr="00651240">
        <w:t xml:space="preserve">:  </w:t>
      </w:r>
    </w:p>
    <w:p w14:paraId="77A73AF1" w14:textId="5344D59F" w:rsidR="004609D0" w:rsidRDefault="00A055CE" w:rsidP="004609D0">
      <w:r>
        <w:t xml:space="preserve"> </w:t>
      </w:r>
      <w:r w:rsidR="004609D0">
        <w:t xml:space="preserve">Presents detailed information about number of customers de-energized and the maximum length of the event in each tribe for each event. </w:t>
      </w:r>
    </w:p>
    <w:p w14:paraId="4E4027B6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0E405DB1" w14:textId="77777777" w:rsidR="00CC14A9" w:rsidRP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>
        <w:t xml:space="preserve"> </w:t>
      </w:r>
    </w:p>
    <w:p w14:paraId="494671D6" w14:textId="77777777" w:rsidR="00A027CF" w:rsidRDefault="00A027CF" w:rsidP="00A027CF">
      <w:pPr>
        <w:pStyle w:val="ListParagraph"/>
        <w:numPr>
          <w:ilvl w:val="0"/>
          <w:numId w:val="8"/>
        </w:numPr>
      </w:pPr>
      <w:r>
        <w:t>Populate rows in order of event date, oldest to newest.</w:t>
      </w:r>
    </w:p>
    <w:p w14:paraId="2E89E926" w14:textId="32253D32" w:rsidR="00A027CF" w:rsidRDefault="00A027CF" w:rsidP="00A027CF">
      <w:pPr>
        <w:pStyle w:val="ListParagraph"/>
        <w:numPr>
          <w:ilvl w:val="0"/>
          <w:numId w:val="8"/>
        </w:numPr>
      </w:pPr>
      <w:r>
        <w:t>Populate one row for each tribe de-energized for each event.</w:t>
      </w:r>
    </w:p>
    <w:p w14:paraId="7BC21870" w14:textId="03CA7940" w:rsidR="00A027CF" w:rsidRDefault="00A027CF" w:rsidP="00A027CF">
      <w:pPr>
        <w:pStyle w:val="ListParagraph"/>
        <w:numPr>
          <w:ilvl w:val="0"/>
          <w:numId w:val="8"/>
        </w:numPr>
      </w:pPr>
      <w:r>
        <w:lastRenderedPageBreak/>
        <w:t>Beginning date and time de-energized means that one or more circuits were the first to be de-energized within tribal boundaries during the event. Ending date and time reenergized means the last circuits reenergized within tribal boundaries during the event.</w:t>
      </w:r>
    </w:p>
    <w:p w14:paraId="60308562" w14:textId="77777777" w:rsidR="00A027CF" w:rsidRDefault="00A027CF" w:rsidP="00A027CF">
      <w:pPr>
        <w:pStyle w:val="ListParagraph"/>
        <w:numPr>
          <w:ilvl w:val="0"/>
          <w:numId w:val="8"/>
        </w:numPr>
      </w:pPr>
      <w:r>
        <w:t>The maximum hours de-energized is the difference between the beginning and ending date/times in hours. Divide hours by 24 to calculate the number of days in fractions to the tenth.</w:t>
      </w:r>
    </w:p>
    <w:p w14:paraId="4079F4D1" w14:textId="77777777" w:rsidR="00A027CF" w:rsidRDefault="00A027CF" w:rsidP="00A027CF">
      <w:pPr>
        <w:pStyle w:val="ListParagraph"/>
        <w:numPr>
          <w:ilvl w:val="0"/>
          <w:numId w:val="8"/>
        </w:numPr>
      </w:pPr>
      <w:r>
        <w:t>Total customers actually de-energized, i.e., those off the grid.</w:t>
      </w:r>
    </w:p>
    <w:p w14:paraId="5822E88C" w14:textId="77777777" w:rsidR="00CC14A9" w:rsidRDefault="00CC14A9" w:rsidP="0082349A"/>
    <w:p w14:paraId="1F592B1B" w14:textId="4D780F0C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14. </w:t>
      </w:r>
      <w:r w:rsidR="00D747C7" w:rsidRPr="00651240">
        <w:t xml:space="preserve">Confidential – </w:t>
      </w:r>
      <w:r w:rsidR="00820FED">
        <w:t xml:space="preserve">CFCI </w:t>
      </w:r>
      <w:r w:rsidR="008A1384" w:rsidRPr="00651240">
        <w:t xml:space="preserve">:  </w:t>
      </w:r>
    </w:p>
    <w:p w14:paraId="08C1D03C" w14:textId="4B25D513" w:rsidR="00A055CE" w:rsidRDefault="0082349A" w:rsidP="0082349A">
      <w:r>
        <w:t>Presents detailed information about</w:t>
      </w:r>
      <w:r w:rsidR="0016044B">
        <w:t xml:space="preserve"> </w:t>
      </w:r>
      <w:r>
        <w:t xml:space="preserve">critical facilities and critical infrastructure that were de-energized on a circuit for each event. </w:t>
      </w:r>
      <w:r w:rsidR="00A055CE">
        <w:t xml:space="preserve"> </w:t>
      </w:r>
    </w:p>
    <w:p w14:paraId="6434B0E7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4736D13" w14:textId="0A4E7E05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00453015" w14:textId="097E7E00" w:rsidR="00091ACE" w:rsidRDefault="003B4701" w:rsidP="00091ACE">
      <w:pPr>
        <w:pStyle w:val="ListParagraph"/>
        <w:numPr>
          <w:ilvl w:val="0"/>
          <w:numId w:val="9"/>
        </w:numPr>
      </w:pPr>
      <w:r>
        <w:t xml:space="preserve">Critical Facilities and Critical Infrastructure </w:t>
      </w:r>
      <w:r w:rsidR="00240E3C">
        <w:t>are</w:t>
      </w:r>
      <w:r>
        <w:t xml:space="preserve"> defined in terms of sector as established by the federal Dept. of Homeland Security. Sector definitions are provided in Sheet 4 – </w:t>
      </w:r>
      <w:proofErr w:type="spellStart"/>
      <w:r>
        <w:t>Defn</w:t>
      </w:r>
      <w:proofErr w:type="spellEnd"/>
      <w:r>
        <w:t xml:space="preserve"> CFCI.</w:t>
      </w:r>
    </w:p>
    <w:p w14:paraId="06333A51" w14:textId="6A261C05" w:rsidR="00240E3C" w:rsidRDefault="00240E3C" w:rsidP="00091ACE">
      <w:pPr>
        <w:pStyle w:val="ListParagraph"/>
        <w:numPr>
          <w:ilvl w:val="0"/>
          <w:numId w:val="9"/>
        </w:numPr>
      </w:pPr>
      <w:r>
        <w:t>Enter the type/sector of the de-energized CFCI in column C.</w:t>
      </w:r>
    </w:p>
    <w:p w14:paraId="23F0572C" w14:textId="078E3DF0" w:rsidR="00CA5D49" w:rsidRPr="00091ACE" w:rsidRDefault="00182A6E" w:rsidP="006E5315">
      <w:pPr>
        <w:pStyle w:val="ListParagraph"/>
        <w:numPr>
          <w:ilvl w:val="0"/>
          <w:numId w:val="9"/>
        </w:numPr>
      </w:pPr>
      <w:r w:rsidRPr="00B548D1">
        <w:t xml:space="preserve">If you provided backup power to the CFCI, please populate columns O-V. </w:t>
      </w:r>
    </w:p>
    <w:p w14:paraId="56570A58" w14:textId="77777777" w:rsidR="00CC14A9" w:rsidRDefault="00CC14A9" w:rsidP="0082349A"/>
    <w:p w14:paraId="752332DA" w14:textId="11E621D1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15. </w:t>
      </w:r>
      <w:r w:rsidR="00D747C7" w:rsidRPr="00651240">
        <w:t>Backup Power Resources</w:t>
      </w:r>
      <w:r w:rsidR="008A1384" w:rsidRPr="00651240">
        <w:t xml:space="preserve">:  </w:t>
      </w:r>
    </w:p>
    <w:p w14:paraId="6262B926" w14:textId="28CE6518" w:rsidR="008A1384" w:rsidRDefault="0082349A" w:rsidP="008A1384">
      <w:r>
        <w:t xml:space="preserve">Presents detailed information about backup power resources from which utilities can mitigate de-energization at a substation or </w:t>
      </w:r>
      <w:r w:rsidR="00182D1A">
        <w:t>service point</w:t>
      </w:r>
      <w:r>
        <w:t>.</w:t>
      </w:r>
      <w:r w:rsidR="008A1384">
        <w:t xml:space="preserve"> </w:t>
      </w:r>
    </w:p>
    <w:p w14:paraId="21509C6F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2C8E10CA" w14:textId="7241A823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4B163423" w14:textId="77777777" w:rsidR="00A8230E" w:rsidRDefault="00A8230E" w:rsidP="00A8230E">
      <w:pPr>
        <w:pStyle w:val="ListParagraph"/>
        <w:numPr>
          <w:ilvl w:val="0"/>
          <w:numId w:val="10"/>
        </w:numPr>
      </w:pPr>
      <w:r>
        <w:t>Populate rows in order of event date, oldest to newest.</w:t>
      </w:r>
    </w:p>
    <w:p w14:paraId="2DDB02B3" w14:textId="4733180B" w:rsidR="00A8230E" w:rsidRDefault="00A8230E" w:rsidP="00A8230E">
      <w:pPr>
        <w:pStyle w:val="ListParagraph"/>
        <w:numPr>
          <w:ilvl w:val="0"/>
          <w:numId w:val="10"/>
        </w:numPr>
      </w:pPr>
      <w:r>
        <w:t>Populate one row for each generator</w:t>
      </w:r>
      <w:r w:rsidR="001750C4">
        <w:t xml:space="preserve"> or microgrid</w:t>
      </w:r>
      <w:r>
        <w:t xml:space="preserve"> available for each event.</w:t>
      </w:r>
    </w:p>
    <w:p w14:paraId="5BDC38FB" w14:textId="0DC99010" w:rsidR="008E40B0" w:rsidRDefault="00761200" w:rsidP="008E40B0">
      <w:pPr>
        <w:pStyle w:val="ListParagraph"/>
        <w:numPr>
          <w:ilvl w:val="0"/>
          <w:numId w:val="10"/>
        </w:numPr>
      </w:pPr>
      <w:r>
        <w:t>Populate columns J through N if resource was assigned to a customer.</w:t>
      </w:r>
    </w:p>
    <w:p w14:paraId="08A85C08" w14:textId="55CDA779" w:rsidR="00761200" w:rsidRPr="008E40B0" w:rsidRDefault="00761200" w:rsidP="008E40B0">
      <w:pPr>
        <w:pStyle w:val="ListParagraph"/>
        <w:numPr>
          <w:ilvl w:val="0"/>
          <w:numId w:val="10"/>
        </w:numPr>
      </w:pPr>
      <w:r>
        <w:t>Type of customer would be the name of the CFCI sector, or a substation</w:t>
      </w:r>
      <w:r w:rsidR="00CF1BA4">
        <w:t>, for example.</w:t>
      </w:r>
    </w:p>
    <w:p w14:paraId="6B2C65F7" w14:textId="77777777" w:rsidR="00CC14A9" w:rsidRPr="00026B7F" w:rsidRDefault="00CC14A9" w:rsidP="008A1384"/>
    <w:p w14:paraId="0065CCA3" w14:textId="44AC1C54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16. </w:t>
      </w:r>
      <w:r w:rsidR="00A0680B" w:rsidRPr="00651240">
        <w:t>Mitigation</w:t>
      </w:r>
      <w:r w:rsidR="008A1384" w:rsidRPr="00651240">
        <w:t xml:space="preserve">:  </w:t>
      </w:r>
    </w:p>
    <w:p w14:paraId="03D09461" w14:textId="29191161" w:rsidR="00A055CE" w:rsidRDefault="00A055CE" w:rsidP="0082349A">
      <w:r>
        <w:t xml:space="preserve"> </w:t>
      </w:r>
      <w:r w:rsidR="0082349A">
        <w:t xml:space="preserve">Presents detailed information about types of mitigation that the utility has deployed during </w:t>
      </w:r>
      <w:r w:rsidR="000F288E">
        <w:t xml:space="preserve">each </w:t>
      </w:r>
      <w:r w:rsidR="0082349A">
        <w:t>PSPS event.</w:t>
      </w:r>
    </w:p>
    <w:p w14:paraId="289E09F7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1F11528" w14:textId="4D9EB016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30F12B92" w14:textId="77777777" w:rsidR="00666140" w:rsidRDefault="00666140" w:rsidP="00666140">
      <w:pPr>
        <w:pStyle w:val="ListParagraph"/>
        <w:numPr>
          <w:ilvl w:val="0"/>
          <w:numId w:val="11"/>
        </w:numPr>
      </w:pPr>
      <w:r>
        <w:t>Populate rows in order of event date, oldest to newest.</w:t>
      </w:r>
    </w:p>
    <w:p w14:paraId="2F2151A3" w14:textId="31FEA845" w:rsidR="00666140" w:rsidRDefault="00666140" w:rsidP="00666140">
      <w:pPr>
        <w:pStyle w:val="ListParagraph"/>
        <w:numPr>
          <w:ilvl w:val="0"/>
          <w:numId w:val="11"/>
        </w:numPr>
      </w:pPr>
      <w:r>
        <w:t>Populate one row for each mitigation deployed for each event.</w:t>
      </w:r>
    </w:p>
    <w:p w14:paraId="5BD621BE" w14:textId="1BA10B34" w:rsidR="00CF1BA4" w:rsidRDefault="000B28D2" w:rsidP="00CF1BA4">
      <w:pPr>
        <w:pStyle w:val="ListParagraph"/>
        <w:numPr>
          <w:ilvl w:val="0"/>
          <w:numId w:val="11"/>
        </w:numPr>
      </w:pPr>
      <w:r>
        <w:t>Mitigation types are defined in Row 2 and the CPUC definitions worksheet.</w:t>
      </w:r>
    </w:p>
    <w:p w14:paraId="0C377C52" w14:textId="06FE9713" w:rsidR="00E67CF2" w:rsidRPr="00CF1BA4" w:rsidRDefault="00E67CF2" w:rsidP="00CF1BA4">
      <w:pPr>
        <w:pStyle w:val="ListParagraph"/>
        <w:numPr>
          <w:ilvl w:val="0"/>
          <w:numId w:val="11"/>
        </w:numPr>
      </w:pPr>
      <w:r>
        <w:t xml:space="preserve">Total customers NOT de-energized means that those customers were not connected to the grid but </w:t>
      </w:r>
      <w:r w:rsidR="004D06A8">
        <w:t>received power from the mitigation source as identified.</w:t>
      </w:r>
    </w:p>
    <w:p w14:paraId="6126CD47" w14:textId="77777777" w:rsidR="00CC14A9" w:rsidRDefault="00CC14A9" w:rsidP="0082349A"/>
    <w:p w14:paraId="250FCDEF" w14:textId="19C78E59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17. </w:t>
      </w:r>
      <w:r w:rsidR="00A0680B" w:rsidRPr="00651240">
        <w:t>Community Resource Centers (CRCs)</w:t>
      </w:r>
      <w:r w:rsidR="008A1384" w:rsidRPr="00651240">
        <w:t xml:space="preserve">:  </w:t>
      </w:r>
    </w:p>
    <w:p w14:paraId="76CD0A3D" w14:textId="11B1778C" w:rsidR="00A055CE" w:rsidRDefault="00A055CE" w:rsidP="0082349A">
      <w:r>
        <w:t xml:space="preserve"> </w:t>
      </w:r>
      <w:r w:rsidR="000F288E">
        <w:t>Presents detailed information about the Community Resource Centers set up by the utilities during each PSPS event.</w:t>
      </w:r>
    </w:p>
    <w:p w14:paraId="3C607114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ADEE428" w14:textId="67016AD9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540F11BD" w14:textId="77777777" w:rsidR="00D70250" w:rsidRDefault="00D70250" w:rsidP="00D70250">
      <w:pPr>
        <w:pStyle w:val="ListParagraph"/>
        <w:numPr>
          <w:ilvl w:val="0"/>
          <w:numId w:val="12"/>
        </w:numPr>
      </w:pPr>
      <w:r>
        <w:t>Populate rows in order of event date, oldest to newest.</w:t>
      </w:r>
    </w:p>
    <w:p w14:paraId="61285D8B" w14:textId="2B36BD85" w:rsidR="00D70250" w:rsidRDefault="00D70250" w:rsidP="00D70250">
      <w:pPr>
        <w:pStyle w:val="ListParagraph"/>
        <w:numPr>
          <w:ilvl w:val="0"/>
          <w:numId w:val="12"/>
        </w:numPr>
      </w:pPr>
      <w:r>
        <w:t xml:space="preserve">Populate one row for each </w:t>
      </w:r>
      <w:r w:rsidR="001903B5">
        <w:t>CRC deployed</w:t>
      </w:r>
      <w:r>
        <w:t xml:space="preserve"> for each event.</w:t>
      </w:r>
    </w:p>
    <w:p w14:paraId="3C6D0504" w14:textId="1C331E43" w:rsidR="00D70250" w:rsidRDefault="00E55B14" w:rsidP="00D70250">
      <w:pPr>
        <w:pStyle w:val="ListParagraph"/>
        <w:numPr>
          <w:ilvl w:val="0"/>
          <w:numId w:val="12"/>
        </w:numPr>
      </w:pPr>
      <w:r>
        <w:lastRenderedPageBreak/>
        <w:t>Calculate the r</w:t>
      </w:r>
      <w:r w:rsidRPr="00E55B14">
        <w:t xml:space="preserve">adius </w:t>
      </w:r>
      <w:r>
        <w:t>s</w:t>
      </w:r>
      <w:r w:rsidRPr="00E55B14">
        <w:t>erved by the CRC (approximate distance in miles)</w:t>
      </w:r>
      <w:r w:rsidR="00DE1986">
        <w:t xml:space="preserve">. </w:t>
      </w:r>
      <w:r w:rsidR="00E50158">
        <w:t xml:space="preserve">Each CRC should be at the center of a circle that extends </w:t>
      </w:r>
      <w:r w:rsidR="00D133B7">
        <w:t xml:space="preserve">to the next CRC circle such that the radius is the shortest possible length. </w:t>
      </w:r>
    </w:p>
    <w:p w14:paraId="701CB0C7" w14:textId="4600EECF" w:rsidR="003A31ED" w:rsidRDefault="003A31ED" w:rsidP="00D70250">
      <w:pPr>
        <w:pStyle w:val="ListParagraph"/>
        <w:numPr>
          <w:ilvl w:val="0"/>
          <w:numId w:val="12"/>
        </w:numPr>
      </w:pPr>
      <w:r>
        <w:t>Service area is the radius served by the CRC</w:t>
      </w:r>
      <w:r w:rsidR="00384E9D">
        <w:t xml:space="preserve"> that is associated with the de-energization of one or more circuits.</w:t>
      </w:r>
    </w:p>
    <w:p w14:paraId="2CD663CD" w14:textId="72F1258A" w:rsidR="00384E9D" w:rsidRDefault="00384E9D" w:rsidP="00D70250">
      <w:pPr>
        <w:pStyle w:val="ListParagraph"/>
        <w:numPr>
          <w:ilvl w:val="0"/>
          <w:numId w:val="12"/>
        </w:numPr>
      </w:pPr>
      <w:r>
        <w:t>Calculate total days open by calculating the total hours open</w:t>
      </w:r>
      <w:r w:rsidR="00643BAA">
        <w:t xml:space="preserve"> and dividing by 14 (the longest time a CRC must be open, 8am to 10pm). Fractions in tenths.</w:t>
      </w:r>
    </w:p>
    <w:p w14:paraId="283A23FC" w14:textId="64E1FF6E" w:rsidR="00643BAA" w:rsidRPr="00D70250" w:rsidRDefault="00643BAA" w:rsidP="00D70250">
      <w:pPr>
        <w:pStyle w:val="ListParagraph"/>
        <w:numPr>
          <w:ilvl w:val="0"/>
          <w:numId w:val="12"/>
        </w:numPr>
      </w:pPr>
      <w:r>
        <w:t xml:space="preserve">AQI </w:t>
      </w:r>
      <w:r w:rsidR="00F05972">
        <w:t xml:space="preserve">in the service area as defined in (4) above is calculated as an average over the time the CRC was open </w:t>
      </w:r>
      <w:r w:rsidR="00610E95">
        <w:t>and as an average in the service area where AQ is calculated and publicized.</w:t>
      </w:r>
    </w:p>
    <w:p w14:paraId="28C583DD" w14:textId="77777777" w:rsidR="00CC14A9" w:rsidRDefault="00CC14A9" w:rsidP="0082349A"/>
    <w:p w14:paraId="69B77A9D" w14:textId="17AC98EB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18. </w:t>
      </w:r>
      <w:r w:rsidR="00792DD4" w:rsidRPr="00651240">
        <w:t>Damages</w:t>
      </w:r>
      <w:r w:rsidR="008A1384" w:rsidRPr="00651240">
        <w:t xml:space="preserve">:  </w:t>
      </w:r>
    </w:p>
    <w:p w14:paraId="34D86CBA" w14:textId="7F9499CD" w:rsidR="00A055CE" w:rsidRDefault="00A055CE" w:rsidP="000F288E">
      <w:r>
        <w:t xml:space="preserve"> </w:t>
      </w:r>
      <w:r w:rsidR="000F288E">
        <w:t xml:space="preserve">Presents detailed information about the damages identified during patrols after the utility determines the circuit(s) are all-clear.  </w:t>
      </w:r>
    </w:p>
    <w:p w14:paraId="40B765EB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6CDACDB" w14:textId="4D1104F0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70C9645F" w14:textId="77777777" w:rsidR="001D709C" w:rsidRDefault="001D709C" w:rsidP="001D709C">
      <w:pPr>
        <w:pStyle w:val="ListParagraph"/>
        <w:numPr>
          <w:ilvl w:val="0"/>
          <w:numId w:val="13"/>
        </w:numPr>
      </w:pPr>
      <w:r>
        <w:t>Populate rows in order of event date, oldest to newest.</w:t>
      </w:r>
    </w:p>
    <w:p w14:paraId="791C76EF" w14:textId="0D5B41B8" w:rsidR="001D709C" w:rsidRDefault="001D709C" w:rsidP="001D709C">
      <w:pPr>
        <w:pStyle w:val="ListParagraph"/>
        <w:numPr>
          <w:ilvl w:val="0"/>
          <w:numId w:val="13"/>
        </w:numPr>
      </w:pPr>
      <w:r>
        <w:t>Populate one row for each damage reported for each event.</w:t>
      </w:r>
    </w:p>
    <w:p w14:paraId="20F74D32" w14:textId="2F9BC06D" w:rsidR="00610E95" w:rsidRPr="00610E95" w:rsidRDefault="00800CF7" w:rsidP="00610E95">
      <w:pPr>
        <w:pStyle w:val="ListParagraph"/>
        <w:numPr>
          <w:ilvl w:val="0"/>
          <w:numId w:val="13"/>
        </w:numPr>
      </w:pPr>
      <w:r>
        <w:t>Briefly describe the type and description of the damage.</w:t>
      </w:r>
    </w:p>
    <w:p w14:paraId="33E3AED8" w14:textId="77777777" w:rsidR="00CC14A9" w:rsidRDefault="00CC14A9" w:rsidP="000F288E"/>
    <w:p w14:paraId="1A9A4A7F" w14:textId="537325C5" w:rsidR="00A0680B" w:rsidRPr="00A055CE" w:rsidRDefault="006231C3" w:rsidP="00651240">
      <w:pPr>
        <w:pStyle w:val="Heading3"/>
        <w:rPr>
          <w:vanish/>
          <w:specVanish/>
        </w:rPr>
      </w:pPr>
      <w:r>
        <w:t xml:space="preserve">19. </w:t>
      </w:r>
      <w:r w:rsidR="00792DD4" w:rsidRPr="00651240">
        <w:t>Hazards</w:t>
      </w:r>
      <w:r w:rsidR="00A0680B" w:rsidRPr="00651240">
        <w:t xml:space="preserve">:  </w:t>
      </w:r>
    </w:p>
    <w:p w14:paraId="39123367" w14:textId="4E3DC60F" w:rsidR="00A055CE" w:rsidRDefault="00A055CE" w:rsidP="000F288E">
      <w:r>
        <w:t xml:space="preserve"> </w:t>
      </w:r>
      <w:r w:rsidR="000F288E">
        <w:t>Presents detailed information about the hazards identified during patrols after the utility determines the circuit(s) are all-clear.</w:t>
      </w:r>
    </w:p>
    <w:p w14:paraId="15AA0470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678ECDE" w14:textId="77777777" w:rsidR="00CC14A9" w:rsidRP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1B1FB4A6" w14:textId="77777777" w:rsidR="00B9764E" w:rsidRDefault="00B9764E" w:rsidP="00B9764E">
      <w:pPr>
        <w:pStyle w:val="ListParagraph"/>
        <w:numPr>
          <w:ilvl w:val="0"/>
          <w:numId w:val="14"/>
        </w:numPr>
      </w:pPr>
      <w:r>
        <w:t>Populate rows in order of event date, oldest to newest.</w:t>
      </w:r>
    </w:p>
    <w:p w14:paraId="2A61FBFA" w14:textId="67003C5C" w:rsidR="00B9764E" w:rsidRDefault="00B9764E" w:rsidP="00B9764E">
      <w:pPr>
        <w:pStyle w:val="ListParagraph"/>
        <w:numPr>
          <w:ilvl w:val="0"/>
          <w:numId w:val="14"/>
        </w:numPr>
      </w:pPr>
      <w:r>
        <w:t>Populate one row for each hazard reported for each event.</w:t>
      </w:r>
    </w:p>
    <w:p w14:paraId="0C0C7E17" w14:textId="2DAEC21F" w:rsidR="00B9764E" w:rsidRPr="00610E95" w:rsidRDefault="00B9764E" w:rsidP="00B9764E">
      <w:pPr>
        <w:pStyle w:val="ListParagraph"/>
        <w:numPr>
          <w:ilvl w:val="0"/>
          <w:numId w:val="14"/>
        </w:numPr>
      </w:pPr>
      <w:r>
        <w:t>Briefly describe the type and description of the hazard.</w:t>
      </w:r>
    </w:p>
    <w:p w14:paraId="2B6D2826" w14:textId="77777777" w:rsidR="00CC14A9" w:rsidRDefault="00CC14A9" w:rsidP="000F288E"/>
    <w:p w14:paraId="3174D0B2" w14:textId="037CCB77" w:rsidR="00A0680B" w:rsidRPr="00A055CE" w:rsidRDefault="006231C3" w:rsidP="00651240">
      <w:pPr>
        <w:pStyle w:val="Heading3"/>
        <w:rPr>
          <w:vanish/>
          <w:specVanish/>
        </w:rPr>
      </w:pPr>
      <w:r>
        <w:t xml:space="preserve">20. </w:t>
      </w:r>
      <w:r w:rsidR="00AE2FA8" w:rsidRPr="00651240">
        <w:t>Claims</w:t>
      </w:r>
      <w:r w:rsidR="00A0680B" w:rsidRPr="00651240">
        <w:t xml:space="preserve">:  </w:t>
      </w:r>
    </w:p>
    <w:p w14:paraId="14C8781D" w14:textId="0C87EB7E" w:rsidR="00A055CE" w:rsidRDefault="00A055CE" w:rsidP="000F288E">
      <w:r>
        <w:t xml:space="preserve"> </w:t>
      </w:r>
      <w:r w:rsidR="000F288E">
        <w:t>Presents detailed information about the claims the utility has received from account holders and others for losses allegedly caused by the PSPS event.</w:t>
      </w:r>
    </w:p>
    <w:p w14:paraId="7153ECA9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BAAF380" w14:textId="777B7E6D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4C53E54D" w14:textId="77777777" w:rsidR="00497A4F" w:rsidRDefault="00497A4F" w:rsidP="00497A4F">
      <w:pPr>
        <w:pStyle w:val="ListParagraph"/>
        <w:numPr>
          <w:ilvl w:val="0"/>
          <w:numId w:val="15"/>
        </w:numPr>
      </w:pPr>
      <w:r>
        <w:t>Populate rows in order of event date, oldest to newest.</w:t>
      </w:r>
    </w:p>
    <w:p w14:paraId="57AE07B8" w14:textId="688E8D06" w:rsidR="00497A4F" w:rsidRPr="00497A4F" w:rsidRDefault="00497A4F" w:rsidP="006C0DB2">
      <w:pPr>
        <w:pStyle w:val="ListParagraph"/>
        <w:numPr>
          <w:ilvl w:val="0"/>
          <w:numId w:val="15"/>
        </w:numPr>
      </w:pPr>
      <w:r>
        <w:t>Populate one row for each</w:t>
      </w:r>
      <w:r w:rsidR="00917C58">
        <w:t xml:space="preserve"> claim</w:t>
      </w:r>
      <w:r>
        <w:t xml:space="preserve"> reported for each event.</w:t>
      </w:r>
    </w:p>
    <w:p w14:paraId="5823D29E" w14:textId="77777777" w:rsidR="00CC14A9" w:rsidRDefault="00CC14A9" w:rsidP="000F288E"/>
    <w:p w14:paraId="147CB485" w14:textId="65963FFD" w:rsidR="00A0680B" w:rsidRPr="00A055CE" w:rsidRDefault="006231C3" w:rsidP="00651240">
      <w:pPr>
        <w:pStyle w:val="Heading3"/>
        <w:rPr>
          <w:vanish/>
          <w:specVanish/>
        </w:rPr>
      </w:pPr>
      <w:r>
        <w:t xml:space="preserve">21. </w:t>
      </w:r>
      <w:r w:rsidR="00D21F8B" w:rsidRPr="00651240">
        <w:t>Emergency Management and PSPS Exercises</w:t>
      </w:r>
      <w:r w:rsidR="00A0680B" w:rsidRPr="00651240">
        <w:t xml:space="preserve">:  </w:t>
      </w:r>
    </w:p>
    <w:p w14:paraId="25302F4F" w14:textId="799BDF71" w:rsidR="00D21F8B" w:rsidRDefault="00A055CE" w:rsidP="000F288E">
      <w:r>
        <w:t xml:space="preserve"> </w:t>
      </w:r>
      <w:r w:rsidR="000F288E">
        <w:t>Presents detailed information about 1</w:t>
      </w:r>
      <w:r w:rsidR="00B36828">
        <w:t>)</w:t>
      </w:r>
      <w:r w:rsidR="000F288E">
        <w:t xml:space="preserve"> De-Energization Exercises; 2</w:t>
      </w:r>
      <w:r w:rsidR="00B36828">
        <w:t>)</w:t>
      </w:r>
      <w:r w:rsidR="000F288E">
        <w:t xml:space="preserve"> Event EOC and Liaisons; 3</w:t>
      </w:r>
      <w:r w:rsidR="00B36828">
        <w:t>)</w:t>
      </w:r>
      <w:r w:rsidR="000F288E">
        <w:t xml:space="preserve"> EOC-Related Training; and 4</w:t>
      </w:r>
      <w:r w:rsidR="00B36828">
        <w:t>)</w:t>
      </w:r>
      <w:r w:rsidR="000F288E">
        <w:t xml:space="preserve"> Other EOC-standup for Training or Actual Event</w:t>
      </w:r>
    </w:p>
    <w:p w14:paraId="10A9A402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705958D" w14:textId="3FC50096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03B4596E" w14:textId="433BEAA8" w:rsidR="00917C58" w:rsidRDefault="000A526D" w:rsidP="00917C58">
      <w:pPr>
        <w:pStyle w:val="ListParagraph"/>
        <w:numPr>
          <w:ilvl w:val="0"/>
          <w:numId w:val="16"/>
        </w:numPr>
      </w:pPr>
      <w:r>
        <w:t>All tables relate to activities in 2021 only.</w:t>
      </w:r>
    </w:p>
    <w:p w14:paraId="6CA5FC34" w14:textId="1BEE10B9" w:rsidR="000A526D" w:rsidRPr="00ED0F13" w:rsidRDefault="006D19F1" w:rsidP="00917C58">
      <w:pPr>
        <w:pStyle w:val="ListParagraph"/>
        <w:numPr>
          <w:ilvl w:val="0"/>
          <w:numId w:val="16"/>
        </w:numPr>
      </w:pPr>
      <w:r w:rsidRPr="00ED0F13">
        <w:lastRenderedPageBreak/>
        <w:t xml:space="preserve">De-energization types are defined in </w:t>
      </w:r>
      <w:r w:rsidR="00ED0F13" w:rsidRPr="00ED0F13">
        <w:t xml:space="preserve">the </w:t>
      </w:r>
      <w:r w:rsidRPr="00ED0F13">
        <w:t>HSEEP</w:t>
      </w:r>
      <w:r w:rsidR="00ED0F13" w:rsidRPr="00ED0F13">
        <w:t xml:space="preserve"> manual at </w:t>
      </w:r>
      <w:hyperlink r:id="rId7" w:history="1">
        <w:r w:rsidR="00ED0F13" w:rsidRPr="00ED0F13">
          <w:rPr>
            <w:rStyle w:val="Hyperlink"/>
          </w:rPr>
          <w:t>https://www.fema.gov/sites/default/files/2020-04/Homeland-Security-Exercise-and-Evaluation-Program-Doctrine-2020-Revision-2-2-25.pdf</w:t>
        </w:r>
      </w:hyperlink>
      <w:r w:rsidR="00ED0F13" w:rsidRPr="00ED0F13">
        <w:t>, pp. 2-6-to 2-11</w:t>
      </w:r>
      <w:r w:rsidRPr="00ED0F13">
        <w:t>.</w:t>
      </w:r>
    </w:p>
    <w:p w14:paraId="41053086" w14:textId="65683176" w:rsidR="006D19F1" w:rsidRPr="006D19F1" w:rsidRDefault="004E3CE1" w:rsidP="00917C58">
      <w:pPr>
        <w:pStyle w:val="ListParagraph"/>
        <w:numPr>
          <w:ilvl w:val="0"/>
          <w:numId w:val="16"/>
        </w:numPr>
      </w:pPr>
      <w:r w:rsidRPr="00ED0F13">
        <w:t>EOC-related training is generally defined as emergency management training provided by Cal</w:t>
      </w:r>
      <w:r>
        <w:t xml:space="preserve"> OES or FEMA that is applicable to a PSPS (whereas earthquake or hazmat response would not be applicable training).</w:t>
      </w:r>
    </w:p>
    <w:sectPr w:rsidR="006D19F1" w:rsidRPr="006D19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332" w14:textId="77777777" w:rsidR="00476862" w:rsidRDefault="00476862" w:rsidP="0071177A">
      <w:pPr>
        <w:spacing w:after="0" w:line="240" w:lineRule="auto"/>
      </w:pPr>
      <w:r>
        <w:separator/>
      </w:r>
    </w:p>
  </w:endnote>
  <w:endnote w:type="continuationSeparator" w:id="0">
    <w:p w14:paraId="6A32C487" w14:textId="77777777" w:rsidR="00476862" w:rsidRDefault="00476862" w:rsidP="0071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351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CAAB1" w14:textId="4E2023F2" w:rsidR="00A055CE" w:rsidRDefault="00A0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B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8A810E" w14:textId="77777777" w:rsidR="00A055CE" w:rsidRDefault="00A0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22E8" w14:textId="77777777" w:rsidR="00476862" w:rsidRDefault="00476862" w:rsidP="0071177A">
      <w:pPr>
        <w:spacing w:after="0" w:line="240" w:lineRule="auto"/>
      </w:pPr>
      <w:r>
        <w:separator/>
      </w:r>
    </w:p>
  </w:footnote>
  <w:footnote w:type="continuationSeparator" w:id="0">
    <w:p w14:paraId="553E7926" w14:textId="77777777" w:rsidR="00476862" w:rsidRDefault="00476862" w:rsidP="0071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5BB4" w14:textId="1C96B096" w:rsidR="0071177A" w:rsidRDefault="0071177A">
    <w:pPr>
      <w:pStyle w:val="Header"/>
    </w:pPr>
    <w:r>
      <w:t>Dru Dunton</w:t>
    </w:r>
    <w:r>
      <w:tab/>
      <w:t>Instructions to Complete Post-Season Data Report</w:t>
    </w:r>
    <w:r>
      <w:tab/>
      <w:t xml:space="preserve">December </w:t>
    </w:r>
    <w:r w:rsidR="00A055CE">
      <w:t>24</w:t>
    </w:r>
    <w:r>
      <w:t>, 2021</w:t>
    </w:r>
  </w:p>
  <w:p w14:paraId="7145FAB4" w14:textId="23BFDF90" w:rsidR="0071177A" w:rsidRDefault="0071177A">
    <w:pPr>
      <w:pStyle w:val="Header"/>
    </w:pPr>
    <w:r>
      <w:tab/>
      <w:t>For PSPS Conducted in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3BE6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7751"/>
    <w:multiLevelType w:val="hybridMultilevel"/>
    <w:tmpl w:val="72CC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E1F"/>
    <w:multiLevelType w:val="hybridMultilevel"/>
    <w:tmpl w:val="39028A9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8D73FCC"/>
    <w:multiLevelType w:val="hybridMultilevel"/>
    <w:tmpl w:val="51D2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312E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145C"/>
    <w:multiLevelType w:val="hybridMultilevel"/>
    <w:tmpl w:val="9F3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6FAF"/>
    <w:multiLevelType w:val="hybridMultilevel"/>
    <w:tmpl w:val="D2BC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F5942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5D23"/>
    <w:multiLevelType w:val="hybridMultilevel"/>
    <w:tmpl w:val="926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054D"/>
    <w:multiLevelType w:val="hybridMultilevel"/>
    <w:tmpl w:val="254A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D0634"/>
    <w:multiLevelType w:val="hybridMultilevel"/>
    <w:tmpl w:val="926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40A1C"/>
    <w:multiLevelType w:val="hybridMultilevel"/>
    <w:tmpl w:val="90301674"/>
    <w:lvl w:ilvl="0" w:tplc="5BEE0DF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54C6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2407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F2D44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1619A"/>
    <w:multiLevelType w:val="hybridMultilevel"/>
    <w:tmpl w:val="26E0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2"/>
    <w:rsid w:val="00024186"/>
    <w:rsid w:val="00026B7F"/>
    <w:rsid w:val="000369A0"/>
    <w:rsid w:val="000414E2"/>
    <w:rsid w:val="0009178E"/>
    <w:rsid w:val="00091ACE"/>
    <w:rsid w:val="00091B26"/>
    <w:rsid w:val="000A1B78"/>
    <w:rsid w:val="000A526D"/>
    <w:rsid w:val="000A7431"/>
    <w:rsid w:val="000B28D2"/>
    <w:rsid w:val="000B5EDC"/>
    <w:rsid w:val="000C2EBF"/>
    <w:rsid w:val="000C5400"/>
    <w:rsid w:val="000D15EE"/>
    <w:rsid w:val="000F288E"/>
    <w:rsid w:val="00150477"/>
    <w:rsid w:val="00150EC8"/>
    <w:rsid w:val="0016044B"/>
    <w:rsid w:val="001750C4"/>
    <w:rsid w:val="00182A6E"/>
    <w:rsid w:val="00182D1A"/>
    <w:rsid w:val="001903B5"/>
    <w:rsid w:val="001D709C"/>
    <w:rsid w:val="001E4239"/>
    <w:rsid w:val="002032A6"/>
    <w:rsid w:val="002326FD"/>
    <w:rsid w:val="0023335F"/>
    <w:rsid w:val="00235B98"/>
    <w:rsid w:val="00240E3C"/>
    <w:rsid w:val="002A25DF"/>
    <w:rsid w:val="002F3142"/>
    <w:rsid w:val="00325EC3"/>
    <w:rsid w:val="00331CB9"/>
    <w:rsid w:val="003738F4"/>
    <w:rsid w:val="00382D03"/>
    <w:rsid w:val="00384E9D"/>
    <w:rsid w:val="003973B7"/>
    <w:rsid w:val="003A31ED"/>
    <w:rsid w:val="003A68D8"/>
    <w:rsid w:val="003B4701"/>
    <w:rsid w:val="003C5C77"/>
    <w:rsid w:val="003D132A"/>
    <w:rsid w:val="003F6103"/>
    <w:rsid w:val="004609D0"/>
    <w:rsid w:val="004617A9"/>
    <w:rsid w:val="00476862"/>
    <w:rsid w:val="004968E7"/>
    <w:rsid w:val="00497A4F"/>
    <w:rsid w:val="004A2AA0"/>
    <w:rsid w:val="004D06A8"/>
    <w:rsid w:val="004E3CE1"/>
    <w:rsid w:val="005263AD"/>
    <w:rsid w:val="005302AF"/>
    <w:rsid w:val="005431EA"/>
    <w:rsid w:val="005444CF"/>
    <w:rsid w:val="005545C9"/>
    <w:rsid w:val="005A7805"/>
    <w:rsid w:val="00610E95"/>
    <w:rsid w:val="006231C3"/>
    <w:rsid w:val="00643BAA"/>
    <w:rsid w:val="00644838"/>
    <w:rsid w:val="00651240"/>
    <w:rsid w:val="00666140"/>
    <w:rsid w:val="006710A0"/>
    <w:rsid w:val="00676ACC"/>
    <w:rsid w:val="00685C38"/>
    <w:rsid w:val="006D19F1"/>
    <w:rsid w:val="006E5FF0"/>
    <w:rsid w:val="00706E0E"/>
    <w:rsid w:val="0071177A"/>
    <w:rsid w:val="00761200"/>
    <w:rsid w:val="007633B0"/>
    <w:rsid w:val="00792DD4"/>
    <w:rsid w:val="007C563F"/>
    <w:rsid w:val="007C5AA7"/>
    <w:rsid w:val="007F0D36"/>
    <w:rsid w:val="007F30D6"/>
    <w:rsid w:val="007F446B"/>
    <w:rsid w:val="00800CF7"/>
    <w:rsid w:val="008021D4"/>
    <w:rsid w:val="00805C81"/>
    <w:rsid w:val="00820FED"/>
    <w:rsid w:val="0082349A"/>
    <w:rsid w:val="00832AAC"/>
    <w:rsid w:val="008402EE"/>
    <w:rsid w:val="008523D8"/>
    <w:rsid w:val="00864EE8"/>
    <w:rsid w:val="00866322"/>
    <w:rsid w:val="00870D27"/>
    <w:rsid w:val="008A1384"/>
    <w:rsid w:val="008A55AF"/>
    <w:rsid w:val="008E40B0"/>
    <w:rsid w:val="00912D02"/>
    <w:rsid w:val="00917C58"/>
    <w:rsid w:val="00933D4C"/>
    <w:rsid w:val="00947B87"/>
    <w:rsid w:val="009A460D"/>
    <w:rsid w:val="009C57C8"/>
    <w:rsid w:val="009F236B"/>
    <w:rsid w:val="00A027CF"/>
    <w:rsid w:val="00A055CE"/>
    <w:rsid w:val="00A0680B"/>
    <w:rsid w:val="00A16BDE"/>
    <w:rsid w:val="00A2243F"/>
    <w:rsid w:val="00A50900"/>
    <w:rsid w:val="00A5525F"/>
    <w:rsid w:val="00A55E00"/>
    <w:rsid w:val="00A8230E"/>
    <w:rsid w:val="00A86925"/>
    <w:rsid w:val="00AD1DCF"/>
    <w:rsid w:val="00AE2FA8"/>
    <w:rsid w:val="00AE3557"/>
    <w:rsid w:val="00AF219A"/>
    <w:rsid w:val="00B36828"/>
    <w:rsid w:val="00B548D1"/>
    <w:rsid w:val="00B9764E"/>
    <w:rsid w:val="00BC6024"/>
    <w:rsid w:val="00C20226"/>
    <w:rsid w:val="00C31033"/>
    <w:rsid w:val="00C65E02"/>
    <w:rsid w:val="00C7022D"/>
    <w:rsid w:val="00C70B12"/>
    <w:rsid w:val="00CA5D49"/>
    <w:rsid w:val="00CB4CD7"/>
    <w:rsid w:val="00CC14A9"/>
    <w:rsid w:val="00CE1C60"/>
    <w:rsid w:val="00CE7B95"/>
    <w:rsid w:val="00CF102E"/>
    <w:rsid w:val="00CF1BA4"/>
    <w:rsid w:val="00D04776"/>
    <w:rsid w:val="00D133B7"/>
    <w:rsid w:val="00D21F8B"/>
    <w:rsid w:val="00D27257"/>
    <w:rsid w:val="00D62BDC"/>
    <w:rsid w:val="00D70250"/>
    <w:rsid w:val="00D747C7"/>
    <w:rsid w:val="00DB6B74"/>
    <w:rsid w:val="00DE1986"/>
    <w:rsid w:val="00E0040A"/>
    <w:rsid w:val="00E50158"/>
    <w:rsid w:val="00E54494"/>
    <w:rsid w:val="00E55B14"/>
    <w:rsid w:val="00E67CF2"/>
    <w:rsid w:val="00ED0F13"/>
    <w:rsid w:val="00EF0176"/>
    <w:rsid w:val="00F05972"/>
    <w:rsid w:val="00F12B02"/>
    <w:rsid w:val="00F97D9A"/>
    <w:rsid w:val="00FE4BA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0CCC"/>
  <w15:chartTrackingRefBased/>
  <w15:docId w15:val="{C9CD6DC8-392B-4D54-8E70-ACE6515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CF"/>
    <w:pPr>
      <w:keepNext/>
      <w:keepLines/>
      <w:spacing w:before="240" w:after="12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4CF"/>
    <w:p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4CF"/>
    <w:pPr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C14A9"/>
    <w:pPr>
      <w:keepNext/>
      <w:spacing w:before="40" w:after="0"/>
      <w:ind w:left="288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7A"/>
  </w:style>
  <w:style w:type="paragraph" w:styleId="Footer">
    <w:name w:val="footer"/>
    <w:basedOn w:val="Normal"/>
    <w:link w:val="FooterChar"/>
    <w:uiPriority w:val="99"/>
    <w:unhideWhenUsed/>
    <w:rsid w:val="0071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7A"/>
  </w:style>
  <w:style w:type="character" w:customStyle="1" w:styleId="Heading1Char">
    <w:name w:val="Heading 1 Char"/>
    <w:basedOn w:val="DefaultParagraphFont"/>
    <w:link w:val="Heading1"/>
    <w:uiPriority w:val="9"/>
    <w:rsid w:val="005444C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44C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44CF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14A9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D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ma.gov/sites/default/files/2020-04/Homeland-Security-Exercise-and-Evaluation-Program-Doctrine-2020-Revision-2-2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 Dunton, WSEB</dc:creator>
  <cp:keywords/>
  <dc:description/>
  <cp:lastModifiedBy>Podolinsky, Elizabeth</cp:lastModifiedBy>
  <cp:revision>2</cp:revision>
  <dcterms:created xsi:type="dcterms:W3CDTF">2021-12-23T21:46:00Z</dcterms:created>
  <dcterms:modified xsi:type="dcterms:W3CDTF">2021-12-23T21:46:00Z</dcterms:modified>
</cp:coreProperties>
</file>