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0421" w:rsidP="00631FCB" w:rsidRDefault="007F5118" w14:paraId="6C0B306A" w14:textId="09B07B1C">
      <w:pPr>
        <w:tabs>
          <w:tab w:val="center" w:pos="4320"/>
          <w:tab w:val="right" w:pos="9360"/>
        </w:tabs>
        <w:spacing w:line="240" w:lineRule="auto"/>
        <w:ind w:firstLine="0"/>
      </w:pPr>
      <w:r>
        <w:t>ALJ</w:t>
      </w:r>
      <w:r w:rsidR="00DA7B5D">
        <w:t>/</w:t>
      </w:r>
      <w:r>
        <w:t>VUK</w:t>
      </w:r>
      <w:r w:rsidR="00DA7B5D">
        <w:t>/</w:t>
      </w:r>
      <w:r w:rsidR="002662D4">
        <w:t>jnf</w:t>
      </w:r>
      <w:r w:rsidR="007E0FEE">
        <w:tab/>
      </w:r>
      <w:r w:rsidR="00DA7B5D">
        <w:tab/>
      </w:r>
      <w:r w:rsidR="00C87BA9">
        <w:rPr>
          <w:b/>
        </w:rPr>
        <w:t>Date of Issuance 3/2</w:t>
      </w:r>
      <w:r w:rsidR="00853997">
        <w:rPr>
          <w:b/>
        </w:rPr>
        <w:t>1</w:t>
      </w:r>
      <w:r w:rsidR="00C87BA9">
        <w:rPr>
          <w:b/>
        </w:rPr>
        <w:t>/2023</w:t>
      </w:r>
    </w:p>
    <w:p w:rsidR="00DA7B5D" w:rsidP="00C87BA9" w:rsidRDefault="00DA7B5D" w14:paraId="22D2DFAA" w14:textId="2055CB2D">
      <w:pPr>
        <w:spacing w:line="240" w:lineRule="auto"/>
        <w:ind w:firstLine="0"/>
        <w:jc w:val="right"/>
        <w:rPr>
          <w:b/>
          <w:bCs/>
        </w:rPr>
      </w:pPr>
    </w:p>
    <w:p w:rsidRPr="00631FCB" w:rsidR="00C87BA9" w:rsidP="00C87BA9" w:rsidRDefault="00C87BA9" w14:paraId="16604E59" w14:textId="77777777">
      <w:pPr>
        <w:spacing w:line="240" w:lineRule="auto"/>
        <w:ind w:firstLine="0"/>
        <w:jc w:val="right"/>
        <w:rPr>
          <w:b/>
          <w:bCs/>
        </w:rPr>
      </w:pPr>
    </w:p>
    <w:p w:rsidRPr="00EE3060" w:rsidR="00DA7B5D" w:rsidP="0098655A" w:rsidRDefault="00DA7B5D" w14:paraId="0EDB4F08" w14:textId="077BF554">
      <w:pPr>
        <w:ind w:left="1080" w:hanging="1080"/>
      </w:pPr>
      <w:r>
        <w:t>Decision</w:t>
      </w:r>
      <w:r w:rsidR="00C87BA9">
        <w:t> </w:t>
      </w:r>
      <w:r w:rsidRPr="00C87BA9" w:rsidR="00C87BA9">
        <w:t>23</w:t>
      </w:r>
      <w:r w:rsidR="00C87BA9">
        <w:noBreakHyphen/>
      </w:r>
      <w:r w:rsidRPr="00C87BA9" w:rsidR="00C87BA9">
        <w:t>03</w:t>
      </w:r>
      <w:r w:rsidR="00C87BA9">
        <w:noBreakHyphen/>
      </w:r>
      <w:r w:rsidRPr="00C87BA9" w:rsidR="00C87BA9">
        <w:t>007</w:t>
      </w:r>
      <w:r w:rsidR="00C87BA9">
        <w:t xml:space="preserve">  March 16, 2023</w:t>
      </w:r>
    </w:p>
    <w:p w:rsidR="00DA7B5D" w:rsidP="00BB0243" w:rsidRDefault="00DA7B5D" w14:paraId="0E73AA52" w14:textId="77777777">
      <w:pPr>
        <w:spacing w:line="240" w:lineRule="auto"/>
        <w:jc w:val="center"/>
        <w:rPr>
          <w:u w:val="single"/>
        </w:rPr>
      </w:pPr>
    </w:p>
    <w:p w:rsidR="00DA7B5D" w:rsidP="00BB0243" w:rsidRDefault="00DA7B5D" w14:paraId="0659B90D"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3B1CD01C"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7F5118" w14:paraId="2FE7FD97" w14:textId="77777777">
        <w:trPr>
          <w:jc w:val="center"/>
        </w:trPr>
        <w:tc>
          <w:tcPr>
            <w:tcW w:w="5040" w:type="dxa"/>
            <w:tcBorders>
              <w:top w:val="nil"/>
              <w:left w:val="nil"/>
              <w:bottom w:val="single" w:color="auto" w:sz="4" w:space="0"/>
              <w:right w:val="single" w:color="auto" w:sz="4" w:space="0"/>
            </w:tcBorders>
          </w:tcPr>
          <w:p w:rsidRPr="00DA7B5D" w:rsidR="00DA7B5D" w:rsidP="00C10B5F" w:rsidRDefault="001B42D4" w14:paraId="5B689857" w14:textId="2C2E10FB">
            <w:pPr>
              <w:spacing w:line="240" w:lineRule="auto"/>
              <w:ind w:firstLine="0"/>
              <w:rPr>
                <w:rFonts w:cs="Arial"/>
                <w:szCs w:val="26"/>
              </w:rPr>
            </w:pPr>
            <w:r w:rsidRPr="001B42D4">
              <w:rPr>
                <w:rFonts w:cs="Arial"/>
                <w:szCs w:val="26"/>
              </w:rPr>
              <w:t>Order Instituting Rulemaking to Develop a Successor to Existing Net Energy Metering Tariffs Pursuant to Public Utilities Code Section</w:t>
            </w:r>
            <w:r w:rsidR="00C7169C">
              <w:rPr>
                <w:rFonts w:cs="Arial"/>
                <w:szCs w:val="26"/>
              </w:rPr>
              <w:t> </w:t>
            </w:r>
            <w:r w:rsidRPr="001B42D4">
              <w:rPr>
                <w:rFonts w:cs="Arial"/>
                <w:szCs w:val="26"/>
              </w:rPr>
              <w:t>2827.1, and to Address Other Issues Related to Net Energy Metering</w:t>
            </w:r>
            <w:r>
              <w:rPr>
                <w:rFonts w:cs="Arial"/>
                <w:szCs w:val="26"/>
              </w:rPr>
              <w:t>.</w:t>
            </w:r>
            <w:r w:rsidRPr="00DA7B5D" w:rsidR="00DA7B5D">
              <w:rPr>
                <w:rFonts w:cs="Arial"/>
                <w:szCs w:val="26"/>
              </w:rPr>
              <w:br/>
            </w:r>
          </w:p>
        </w:tc>
        <w:tc>
          <w:tcPr>
            <w:tcW w:w="5040" w:type="dxa"/>
            <w:tcBorders>
              <w:top w:val="nil"/>
              <w:left w:val="single" w:color="auto" w:sz="4" w:space="0"/>
              <w:bottom w:val="nil"/>
              <w:right w:val="nil"/>
            </w:tcBorders>
            <w:vAlign w:val="center"/>
          </w:tcPr>
          <w:p w:rsidRPr="00DA7B5D" w:rsidR="00DA7B5D" w:rsidP="00412C83" w:rsidRDefault="001B42D4" w14:paraId="56A91719" w14:textId="7A9EB5A8">
            <w:pPr>
              <w:spacing w:line="240" w:lineRule="auto"/>
              <w:ind w:firstLine="0"/>
              <w:jc w:val="center"/>
              <w:rPr>
                <w:rFonts w:cs="Arial"/>
                <w:szCs w:val="26"/>
              </w:rPr>
            </w:pPr>
            <w:r>
              <w:rPr>
                <w:rFonts w:cs="Arial"/>
                <w:szCs w:val="26"/>
              </w:rPr>
              <w:t>Rulemaking 14-07-002</w:t>
            </w:r>
          </w:p>
        </w:tc>
      </w:tr>
      <w:tr w:rsidR="001B42D4" w:rsidTr="007F5118" w14:paraId="3DBB9775" w14:textId="77777777">
        <w:trPr>
          <w:jc w:val="center"/>
        </w:trPr>
        <w:tc>
          <w:tcPr>
            <w:tcW w:w="5040" w:type="dxa"/>
            <w:tcBorders>
              <w:top w:val="single" w:color="auto" w:sz="4" w:space="0"/>
              <w:left w:val="nil"/>
              <w:bottom w:val="single" w:color="auto" w:sz="4" w:space="0"/>
              <w:right w:val="single" w:color="auto" w:sz="4" w:space="0"/>
            </w:tcBorders>
          </w:tcPr>
          <w:p w:rsidR="007F5118" w:rsidP="00C10B5F" w:rsidRDefault="007F5118" w14:paraId="5C4BC2D8" w14:textId="77777777">
            <w:pPr>
              <w:spacing w:line="240" w:lineRule="auto"/>
              <w:ind w:firstLine="0"/>
              <w:rPr>
                <w:rFonts w:cs="Arial"/>
                <w:szCs w:val="26"/>
              </w:rPr>
            </w:pPr>
          </w:p>
          <w:p w:rsidR="001B42D4" w:rsidP="00C10B5F" w:rsidRDefault="001B42D4" w14:paraId="54D32F23" w14:textId="77777777">
            <w:pPr>
              <w:spacing w:line="240" w:lineRule="auto"/>
              <w:ind w:firstLine="0"/>
              <w:rPr>
                <w:rFonts w:cs="Arial"/>
                <w:szCs w:val="26"/>
              </w:rPr>
            </w:pPr>
            <w:r>
              <w:rPr>
                <w:rFonts w:cs="Arial"/>
                <w:szCs w:val="26"/>
              </w:rPr>
              <w:t>And Related Matter</w:t>
            </w:r>
            <w:r w:rsidR="007F5118">
              <w:rPr>
                <w:rFonts w:cs="Arial"/>
                <w:szCs w:val="26"/>
              </w:rPr>
              <w:t>.</w:t>
            </w:r>
          </w:p>
          <w:p w:rsidRPr="001B42D4" w:rsidR="007F5118" w:rsidP="00C10B5F" w:rsidRDefault="007F5118" w14:paraId="6B092542" w14:textId="617EB42E">
            <w:pPr>
              <w:spacing w:line="240" w:lineRule="auto"/>
              <w:ind w:firstLine="0"/>
              <w:rPr>
                <w:rFonts w:cs="Arial"/>
                <w:szCs w:val="26"/>
              </w:rPr>
            </w:pPr>
          </w:p>
        </w:tc>
        <w:tc>
          <w:tcPr>
            <w:tcW w:w="5040" w:type="dxa"/>
            <w:tcBorders>
              <w:top w:val="nil"/>
              <w:left w:val="single" w:color="auto" w:sz="4" w:space="0"/>
              <w:bottom w:val="nil"/>
              <w:right w:val="nil"/>
            </w:tcBorders>
            <w:vAlign w:val="center"/>
          </w:tcPr>
          <w:p w:rsidR="001B42D4" w:rsidP="00412C83" w:rsidRDefault="007F5118" w14:paraId="58E7552D" w14:textId="5D48995A">
            <w:pPr>
              <w:spacing w:line="240" w:lineRule="auto"/>
              <w:ind w:firstLine="0"/>
              <w:jc w:val="center"/>
              <w:rPr>
                <w:rFonts w:cs="Arial"/>
                <w:szCs w:val="26"/>
              </w:rPr>
            </w:pPr>
            <w:r>
              <w:rPr>
                <w:rFonts w:cs="Arial"/>
                <w:szCs w:val="26"/>
              </w:rPr>
              <w:t>Application 16-07-015</w:t>
            </w:r>
          </w:p>
        </w:tc>
      </w:tr>
    </w:tbl>
    <w:p w:rsidR="00DA7B5D" w:rsidP="008F0116" w:rsidRDefault="00DA7B5D" w14:paraId="71F845B8" w14:textId="77777777">
      <w:pPr>
        <w:spacing w:line="240" w:lineRule="auto"/>
        <w:ind w:firstLine="0"/>
        <w:rPr>
          <w:rFonts w:ascii="Arial" w:hAnsi="Arial" w:cs="Arial"/>
          <w:sz w:val="24"/>
          <w:szCs w:val="24"/>
        </w:rPr>
      </w:pPr>
    </w:p>
    <w:p w:rsidR="00DA7B5D" w:rsidP="008F0116" w:rsidRDefault="00DA7B5D" w14:paraId="5C97A911" w14:textId="77777777">
      <w:pPr>
        <w:spacing w:line="240" w:lineRule="auto"/>
        <w:ind w:firstLine="0"/>
        <w:rPr>
          <w:rFonts w:ascii="Arial" w:hAnsi="Arial" w:cs="Arial"/>
          <w:sz w:val="24"/>
          <w:szCs w:val="24"/>
        </w:rPr>
      </w:pPr>
    </w:p>
    <w:p w:rsidRPr="002A6FF2" w:rsidR="002A6FF2" w:rsidP="002A6FF2" w:rsidRDefault="00986080" w14:paraId="0105BDE9" w14:textId="54533E34">
      <w:pPr>
        <w:pStyle w:val="Dummy"/>
        <w:jc w:val="center"/>
      </w:pPr>
      <w:bookmarkStart w:name="_Toc125572401" w:id="0"/>
      <w:r>
        <w:t>DECISION MODIFYING INCENTIVES AND ELIMINATING</w:t>
      </w:r>
      <w:r w:rsidR="002662D4">
        <w:t xml:space="preserve"> </w:t>
      </w:r>
      <w:r>
        <w:t>INCENTIVE</w:t>
      </w:r>
      <w:r w:rsidR="002662D4">
        <w:t xml:space="preserve"> </w:t>
      </w:r>
      <w:r>
        <w:t>STEP</w:t>
      </w:r>
      <w:r w:rsidR="002662D4">
        <w:noBreakHyphen/>
      </w:r>
      <w:r>
        <w:t>DOWN METHODOLOGY FOR THE</w:t>
      </w:r>
      <w:r w:rsidR="002662D4">
        <w:t xml:space="preserve"> </w:t>
      </w:r>
      <w:r>
        <w:t>SOLAR ON</w:t>
      </w:r>
      <w:r w:rsidR="002662D4">
        <w:t xml:space="preserve"> </w:t>
      </w:r>
      <w:r>
        <w:t>MULTIFAMILY AFFORDABLE HOUSING PROGRAM</w:t>
      </w:r>
      <w:bookmarkEnd w:id="0"/>
    </w:p>
    <w:p w:rsidR="005A148C" w:rsidP="005A148C" w:rsidRDefault="005A148C" w14:paraId="12C7801E" w14:textId="77777777">
      <w:pPr>
        <w:pStyle w:val="Dummy"/>
      </w:pPr>
      <w:bookmarkStart w:name="_Toc8123714" w:id="1"/>
      <w:bookmarkStart w:name="_Toc125572402" w:id="2"/>
      <w:r>
        <w:t>Summary</w:t>
      </w:r>
      <w:bookmarkEnd w:id="1"/>
      <w:bookmarkEnd w:id="2"/>
    </w:p>
    <w:p w:rsidR="002A6FF2" w:rsidP="00074538" w:rsidRDefault="005A148C" w14:paraId="129664B3" w14:textId="17B3496E">
      <w:pPr>
        <w:pStyle w:val="Standard"/>
        <w:sectPr w:rsidR="002A6FF2" w:rsidSect="002A6FF2">
          <w:footerReference w:type="default" r:id="rId11"/>
          <w:pgSz w:w="12240" w:h="15840"/>
          <w:pgMar w:top="1728" w:right="1440" w:bottom="1440" w:left="1440" w:header="720" w:footer="720" w:gutter="0"/>
          <w:pgNumType w:start="1"/>
          <w:cols w:space="720"/>
          <w:docGrid w:linePitch="360"/>
        </w:sectPr>
      </w:pPr>
      <w:r>
        <w:t>Th</w:t>
      </w:r>
      <w:r w:rsidR="00682959">
        <w:t>is decision partially grants a petition for modification of Decision</w:t>
      </w:r>
      <w:r w:rsidR="00C7169C">
        <w:t> </w:t>
      </w:r>
      <w:r w:rsidR="00682959">
        <w:t>17</w:t>
      </w:r>
      <w:r w:rsidR="00C7169C">
        <w:noBreakHyphen/>
      </w:r>
      <w:r w:rsidR="00682959">
        <w:t>12</w:t>
      </w:r>
      <w:r w:rsidR="00C7169C">
        <w:noBreakHyphen/>
      </w:r>
      <w:r w:rsidR="00682959">
        <w:t>022</w:t>
      </w:r>
      <w:r w:rsidR="007573B4">
        <w:t xml:space="preserve"> regarding the Solar on Multifamily Affordable Housing </w:t>
      </w:r>
      <w:r w:rsidR="00BA14D1">
        <w:t xml:space="preserve">(SOMAH) </w:t>
      </w:r>
      <w:r w:rsidR="007573B4">
        <w:t xml:space="preserve">program. </w:t>
      </w:r>
      <w:r w:rsidR="00847616">
        <w:t>The decision increase</w:t>
      </w:r>
      <w:r w:rsidR="00117AA9">
        <w:t>s</w:t>
      </w:r>
      <w:r w:rsidR="00847616">
        <w:t xml:space="preserve"> current incentive levels </w:t>
      </w:r>
      <w:r w:rsidR="00B87C52">
        <w:t>and eliminates the annual step-down in incentives established in Decision</w:t>
      </w:r>
      <w:r w:rsidR="00C7169C">
        <w:t> </w:t>
      </w:r>
      <w:r w:rsidR="00B87C52">
        <w:t>17</w:t>
      </w:r>
      <w:r w:rsidR="00C7169C">
        <w:noBreakHyphen/>
      </w:r>
      <w:r w:rsidR="00B87C52">
        <w:t>12</w:t>
      </w:r>
      <w:r w:rsidR="00C7169C">
        <w:noBreakHyphen/>
      </w:r>
      <w:r w:rsidR="00B87C52">
        <w:t xml:space="preserve">022. The decision </w:t>
      </w:r>
      <w:r w:rsidR="00337D74">
        <w:t>denies</w:t>
      </w:r>
      <w:r w:rsidR="008F50E3">
        <w:t xml:space="preserve"> the petition’s request </w:t>
      </w:r>
      <w:r w:rsidR="00035784">
        <w:t xml:space="preserve">to enable the </w:t>
      </w:r>
      <w:r w:rsidR="005F237C">
        <w:t xml:space="preserve">Solar on Multifamily Affordable Housing </w:t>
      </w:r>
      <w:r w:rsidR="00F314FE">
        <w:t>P</w:t>
      </w:r>
      <w:r w:rsidR="00035784">
        <w:t xml:space="preserve">rogram </w:t>
      </w:r>
      <w:r w:rsidR="00F314FE">
        <w:t>A</w:t>
      </w:r>
      <w:r w:rsidR="00035784">
        <w:t xml:space="preserve">dministrator to propose future changes to incentive levels via </w:t>
      </w:r>
      <w:r w:rsidR="002A6FF2">
        <w:t>A</w:t>
      </w:r>
      <w:r w:rsidR="005F237C">
        <w:t xml:space="preserve">dvice </w:t>
      </w:r>
      <w:r w:rsidR="002A6FF2">
        <w:t>L</w:t>
      </w:r>
      <w:r w:rsidR="005F237C">
        <w:t>etter.</w:t>
      </w:r>
      <w:r>
        <w:t xml:space="preserve"> </w:t>
      </w:r>
      <w:r w:rsidR="00E65068">
        <w:t xml:space="preserve">The decision defers addressing the request for a differentiated incentive for properties in </w:t>
      </w:r>
      <w:r w:rsidR="00916B17">
        <w:t>d</w:t>
      </w:r>
      <w:r w:rsidR="00E65068">
        <w:t xml:space="preserve">isadvantaged </w:t>
      </w:r>
      <w:r w:rsidR="00916B17">
        <w:t>c</w:t>
      </w:r>
      <w:r w:rsidR="00E65068">
        <w:t xml:space="preserve">ommunities, leaving this element to be considered </w:t>
      </w:r>
      <w:r w:rsidR="00A9336E">
        <w:t xml:space="preserve">in </w:t>
      </w:r>
      <w:r w:rsidR="00E435FC">
        <w:t>a forthcoming ruling</w:t>
      </w:r>
      <w:r w:rsidR="00074538">
        <w:t>.</w:t>
      </w:r>
    </w:p>
    <w:p w:rsidR="0073353F" w:rsidP="00E65068" w:rsidRDefault="00074538" w14:paraId="3E7765C0" w14:textId="6302E9C9">
      <w:pPr>
        <w:pStyle w:val="Standard"/>
      </w:pPr>
      <w:r>
        <w:lastRenderedPageBreak/>
        <w:t>This proceeding remains open to consider</w:t>
      </w:r>
      <w:r w:rsidR="00737906">
        <w:t xml:space="preserve"> </w:t>
      </w:r>
      <w:r w:rsidR="00CD0F35">
        <w:t xml:space="preserve">potential further modifications to </w:t>
      </w:r>
      <w:r w:rsidR="00BA14D1">
        <w:t xml:space="preserve">the SOMAH </w:t>
      </w:r>
      <w:r w:rsidR="001B0EED">
        <w:t>and Disadvantaged Communities</w:t>
      </w:r>
      <w:r w:rsidR="00EC3E4A">
        <w:t xml:space="preserve"> – Single-family Affordable Solar </w:t>
      </w:r>
      <w:r w:rsidR="00AD430D">
        <w:t>Homes</w:t>
      </w:r>
      <w:r w:rsidR="001B0EED">
        <w:t xml:space="preserve"> </w:t>
      </w:r>
      <w:r w:rsidR="00BA14D1">
        <w:t>program</w:t>
      </w:r>
      <w:r w:rsidR="00EC3E4A">
        <w:t>s</w:t>
      </w:r>
      <w:r w:rsidR="0073353F">
        <w:t>.</w:t>
      </w:r>
    </w:p>
    <w:p w:rsidRPr="00121089" w:rsidR="005A148C" w:rsidP="00A55ACD" w:rsidRDefault="002C7FE9" w14:paraId="058741AF" w14:textId="77777777">
      <w:pPr>
        <w:pStyle w:val="Heading1"/>
        <w:numPr>
          <w:ilvl w:val="0"/>
          <w:numId w:val="1"/>
        </w:numPr>
      </w:pPr>
      <w:bookmarkStart w:name="_Toc8123715" w:id="3"/>
      <w:bookmarkStart w:name="_Toc125572403" w:id="4"/>
      <w:r w:rsidRPr="00121089">
        <w:t>Background</w:t>
      </w:r>
      <w:bookmarkEnd w:id="3"/>
      <w:bookmarkEnd w:id="4"/>
    </w:p>
    <w:p w:rsidR="002C7FE9" w:rsidP="006E6574" w:rsidRDefault="00A96889" w14:paraId="30EF7C44" w14:textId="7FA43647">
      <w:pPr>
        <w:pStyle w:val="Standard"/>
      </w:pPr>
      <w:r>
        <w:t>Pursuant to Assembly Bill</w:t>
      </w:r>
      <w:r w:rsidR="00C7169C">
        <w:t xml:space="preserve"> (AB) </w:t>
      </w:r>
      <w:r>
        <w:t>693 (Stats. 20</w:t>
      </w:r>
      <w:r w:rsidR="006C3805">
        <w:t>15</w:t>
      </w:r>
      <w:r>
        <w:t xml:space="preserve">, Chap. </w:t>
      </w:r>
      <w:r w:rsidR="006C3805">
        <w:t>582</w:t>
      </w:r>
      <w:r>
        <w:t>), the California Public Utilities Commission (Commission) i</w:t>
      </w:r>
      <w:r w:rsidR="00FB1684">
        <w:t xml:space="preserve">n </w:t>
      </w:r>
      <w:r w:rsidR="009F2279">
        <w:t>Decision (D.)</w:t>
      </w:r>
      <w:r w:rsidR="00C7169C">
        <w:t> </w:t>
      </w:r>
      <w:r w:rsidR="009F2279">
        <w:t>17</w:t>
      </w:r>
      <w:r w:rsidR="00C7169C">
        <w:noBreakHyphen/>
      </w:r>
      <w:r w:rsidR="009F2279">
        <w:t>12</w:t>
      </w:r>
      <w:r w:rsidR="00C7169C">
        <w:noBreakHyphen/>
      </w:r>
      <w:r w:rsidR="009F2279">
        <w:t xml:space="preserve">022 </w:t>
      </w:r>
      <w:r w:rsidR="00FB1684">
        <w:t xml:space="preserve">established the Solar on Multifamily Affordable Housing </w:t>
      </w:r>
      <w:r w:rsidR="002C355C">
        <w:t xml:space="preserve">(SOMAH) </w:t>
      </w:r>
      <w:r w:rsidR="0020657E">
        <w:t>p</w:t>
      </w:r>
      <w:r w:rsidR="00FB1684">
        <w:t>rogram</w:t>
      </w:r>
      <w:r w:rsidRPr="00E600C3" w:rsidR="00E600C3">
        <w:t xml:space="preserve">, which provides financial incentives for installation of solar energy systems on multifamily </w:t>
      </w:r>
      <w:r w:rsidRPr="00E600C3" w:rsidR="002A6FF2">
        <w:t xml:space="preserve">Affordable </w:t>
      </w:r>
      <w:r w:rsidRPr="00E600C3" w:rsidR="00E600C3">
        <w:t>housing properties.</w:t>
      </w:r>
      <w:r w:rsidRPr="00E600C3" w:rsidR="00E600C3">
        <w:rPr>
          <w:vertAlign w:val="superscript"/>
        </w:rPr>
        <w:footnoteReference w:id="2"/>
      </w:r>
      <w:r w:rsidR="00141595">
        <w:t xml:space="preserve"> </w:t>
      </w:r>
      <w:r w:rsidR="00547A04">
        <w:t>As part of program implementation details</w:t>
      </w:r>
      <w:r w:rsidR="00842C56">
        <w:t xml:space="preserve">, </w:t>
      </w:r>
      <w:r w:rsidR="00141595">
        <w:t>D.17</w:t>
      </w:r>
      <w:r w:rsidR="00C7169C">
        <w:noBreakHyphen/>
      </w:r>
      <w:r w:rsidR="00141595">
        <w:t>12</w:t>
      </w:r>
      <w:r w:rsidR="00C7169C">
        <w:noBreakHyphen/>
      </w:r>
      <w:r w:rsidR="00141595">
        <w:t xml:space="preserve">022 </w:t>
      </w:r>
      <w:r w:rsidR="00132582">
        <w:t xml:space="preserve">establishes </w:t>
      </w:r>
      <w:r w:rsidR="003D45AF">
        <w:t>per</w:t>
      </w:r>
      <w:r w:rsidR="00480B52">
        <w:t>-watt incentives and specifies</w:t>
      </w:r>
      <w:r w:rsidR="003D45AF">
        <w:t xml:space="preserve"> </w:t>
      </w:r>
      <w:r w:rsidR="00132582">
        <w:t>that</w:t>
      </w:r>
      <w:r w:rsidR="00795CE6">
        <w:t xml:space="preserve"> incentive levels</w:t>
      </w:r>
      <w:r w:rsidR="00132582">
        <w:t xml:space="preserve"> </w:t>
      </w:r>
      <w:r w:rsidR="00480B52">
        <w:t>must</w:t>
      </w:r>
      <w:r w:rsidR="00132582">
        <w:t xml:space="preserve"> annually decrease </w:t>
      </w:r>
      <w:r w:rsidR="00C97C77">
        <w:t>either by</w:t>
      </w:r>
      <w:r w:rsidR="00795CE6">
        <w:t xml:space="preserve"> </w:t>
      </w:r>
      <w:r w:rsidR="00A042AE">
        <w:t xml:space="preserve">five percent </w:t>
      </w:r>
      <w:r w:rsidR="00C97C77">
        <w:t>or by</w:t>
      </w:r>
      <w:r w:rsidR="00A042AE">
        <w:t xml:space="preserve"> </w:t>
      </w:r>
      <w:r w:rsidR="00161E8A">
        <w:t xml:space="preserve">the annual percent decline in residential solar costs </w:t>
      </w:r>
      <w:r w:rsidR="003113A8">
        <w:t xml:space="preserve">as reflected by National Renewable Energy Laboratory reports, </w:t>
      </w:r>
      <w:r w:rsidR="00C97C77">
        <w:t>whichever is less</w:t>
      </w:r>
      <w:r w:rsidR="00795CE6">
        <w:t>.</w:t>
      </w:r>
    </w:p>
    <w:p w:rsidR="00620C8F" w:rsidP="002A6FF2" w:rsidRDefault="00B257C6" w14:paraId="2E4A8B72" w14:textId="0E424C6B">
      <w:pPr>
        <w:pStyle w:val="Standard"/>
        <w:spacing w:after="120"/>
      </w:pPr>
      <w:r>
        <w:t>On August 11, 2022, the Center for Sustainable Energy (CSE) filed a petition to modify D.17-12-022</w:t>
      </w:r>
      <w:r w:rsidR="00605E7B">
        <w:t xml:space="preserve"> with respect to the requirement to </w:t>
      </w:r>
      <w:r w:rsidR="00815407">
        <w:t xml:space="preserve">annually adjust incentive levels. The petition further requests to increase current incentive levels and to differentiate incentive levels </w:t>
      </w:r>
      <w:r w:rsidR="00D27770">
        <w:t>depending on type of eligibility</w:t>
      </w:r>
      <w:r w:rsidR="00E65068">
        <w:t>. A</w:t>
      </w:r>
      <w:r w:rsidR="00E2263B">
        <w:t xml:space="preserve">cknowledging that </w:t>
      </w:r>
      <w:r w:rsidR="00FD48B0">
        <w:t xml:space="preserve">existing projects may also benefit from </w:t>
      </w:r>
      <w:r w:rsidR="00E40ADF">
        <w:t>a higher incentive level</w:t>
      </w:r>
      <w:r w:rsidR="00BA14D1">
        <w:t>s</w:t>
      </w:r>
      <w:r w:rsidR="00E40ADF">
        <w:t>, the petition proposes that any projects that have already submitted a SOMAH application but have not yet submitted their Proof of Project Milestone documentation may request the updated incentive level.</w:t>
      </w:r>
      <w:r w:rsidR="00D82699">
        <w:rPr>
          <w:rStyle w:val="FootnoteReference"/>
        </w:rPr>
        <w:footnoteReference w:id="3"/>
      </w:r>
      <w:r w:rsidR="009C19A8">
        <w:t xml:space="preserve"> </w:t>
      </w:r>
      <w:r w:rsidRPr="00F405DF" w:rsidR="00F405DF">
        <w:t xml:space="preserve">The </w:t>
      </w:r>
      <w:r w:rsidR="00724BF5">
        <w:t>petition</w:t>
      </w:r>
      <w:r w:rsidR="00FC6F69">
        <w:t xml:space="preserve"> </w:t>
      </w:r>
      <w:r w:rsidR="00734B16">
        <w:t>states</w:t>
      </w:r>
      <w:r w:rsidRPr="00F405DF" w:rsidR="00F405DF">
        <w:t xml:space="preserve"> that </w:t>
      </w:r>
      <w:r w:rsidRPr="00F405DF" w:rsidR="00F405DF">
        <w:lastRenderedPageBreak/>
        <w:t>existing applications are at risk of cancellation “due to increasing project costs and degrading project financials</w:t>
      </w:r>
      <w:r w:rsidR="004E3307">
        <w:t>,</w:t>
      </w:r>
      <w:r w:rsidRPr="00F405DF" w:rsidR="00F405DF">
        <w:t>”</w:t>
      </w:r>
      <w:r w:rsidR="00A02242">
        <w:t xml:space="preserve"> noting that </w:t>
      </w:r>
      <w:r w:rsidR="00B27A7D">
        <w:t xml:space="preserve">average project costs have </w:t>
      </w:r>
      <w:r w:rsidR="00410C89">
        <w:t>increased from $3.77</w:t>
      </w:r>
      <w:r w:rsidR="00C7169C">
        <w:t> </w:t>
      </w:r>
      <w:r w:rsidR="00410C89">
        <w:t>per watt</w:t>
      </w:r>
      <w:r w:rsidR="00D84C02">
        <w:t xml:space="preserve"> for projects submitted in 2019 to $4.21</w:t>
      </w:r>
      <w:r w:rsidR="00C7169C">
        <w:t> </w:t>
      </w:r>
      <w:r w:rsidR="00D84C02">
        <w:t>per watt for projects submitted in 2021</w:t>
      </w:r>
      <w:r w:rsidR="00E54EB3">
        <w:t xml:space="preserve">, while inflation has increased </w:t>
      </w:r>
      <w:r w:rsidR="00DF7765">
        <w:t>from 4.2</w:t>
      </w:r>
      <w:r w:rsidR="00C7169C">
        <w:t> </w:t>
      </w:r>
      <w:r w:rsidR="00DF7765">
        <w:t>percent in April</w:t>
      </w:r>
      <w:r w:rsidR="00C7169C">
        <w:t> </w:t>
      </w:r>
      <w:r w:rsidR="00DF7765">
        <w:t>2021 to 9.1</w:t>
      </w:r>
      <w:r w:rsidR="00C7169C">
        <w:t> </w:t>
      </w:r>
      <w:r w:rsidR="00DF7765">
        <w:t xml:space="preserve">percent </w:t>
      </w:r>
      <w:r w:rsidR="004432DD">
        <w:t>in June 2022</w:t>
      </w:r>
      <w:r w:rsidR="00D84C02">
        <w:t>.</w:t>
      </w:r>
      <w:r w:rsidRPr="00F405DF" w:rsidR="00F405DF">
        <w:rPr>
          <w:vertAlign w:val="superscript"/>
        </w:rPr>
        <w:footnoteReference w:id="4"/>
      </w:r>
      <w:r w:rsidR="00370164">
        <w:t xml:space="preserve"> </w:t>
      </w:r>
      <w:r w:rsidR="00AF08B3">
        <w:t>CSE</w:t>
      </w:r>
      <w:r w:rsidR="00A9336E">
        <w:t xml:space="preserve">’s </w:t>
      </w:r>
      <w:r w:rsidR="00916B17">
        <w:t>petition</w:t>
      </w:r>
      <w:r w:rsidR="00A9336E">
        <w:t xml:space="preserve"> states</w:t>
      </w:r>
      <w:r w:rsidR="00AF08B3">
        <w:t xml:space="preserve"> that between January </w:t>
      </w:r>
      <w:r w:rsidR="00517C34">
        <w:t>and</w:t>
      </w:r>
      <w:r w:rsidR="00AF08B3">
        <w:t xml:space="preserve"> August 2022, 22 applications cancelled</w:t>
      </w:r>
      <w:r w:rsidR="00517C34">
        <w:t>,</w:t>
      </w:r>
      <w:r w:rsidR="00AF08B3">
        <w:t xml:space="preserve"> citing financial challenges.</w:t>
      </w:r>
      <w:r w:rsidR="00AF08B3">
        <w:rPr>
          <w:rStyle w:val="FootnoteReference"/>
        </w:rPr>
        <w:footnoteReference w:id="5"/>
      </w:r>
      <w:r w:rsidR="00AF08B3">
        <w:t xml:space="preserve"> </w:t>
      </w:r>
      <w:r w:rsidR="002922E4">
        <w:t xml:space="preserve">For context, </w:t>
      </w:r>
      <w:r w:rsidR="00A82D9E">
        <w:t>the current SOMAH incentive levels are</w:t>
      </w:r>
      <w:r w:rsidR="00F27C39">
        <w:t>:</w:t>
      </w:r>
    </w:p>
    <w:tbl>
      <w:tblPr>
        <w:tblStyle w:val="TableGrid"/>
        <w:tblW w:w="0" w:type="auto"/>
        <w:jc w:val="center"/>
        <w:tblLook w:val="04A0" w:firstRow="1" w:lastRow="0" w:firstColumn="1" w:lastColumn="0" w:noHBand="0" w:noVBand="1"/>
      </w:tblPr>
      <w:tblGrid>
        <w:gridCol w:w="2029"/>
        <w:gridCol w:w="2106"/>
        <w:gridCol w:w="1440"/>
        <w:gridCol w:w="1890"/>
      </w:tblGrid>
      <w:tr w:rsidRPr="00B36D7B" w:rsidR="00F27C39" w:rsidTr="0004555B" w14:paraId="3A61A9A3" w14:textId="77777777">
        <w:trPr>
          <w:cantSplit/>
          <w:tblHeader/>
          <w:jc w:val="center"/>
        </w:trPr>
        <w:tc>
          <w:tcPr>
            <w:tcW w:w="4135" w:type="dxa"/>
            <w:gridSpan w:val="2"/>
            <w:tcMar>
              <w:top w:w="58" w:type="dxa"/>
              <w:left w:w="115" w:type="dxa"/>
              <w:bottom w:w="58" w:type="dxa"/>
              <w:right w:w="115" w:type="dxa"/>
            </w:tcMar>
            <w:vAlign w:val="center"/>
          </w:tcPr>
          <w:p w:rsidRPr="00B36D7B" w:rsidR="00F27C39" w:rsidRDefault="00F27C39" w14:paraId="6EBDF1DA" w14:textId="77777777">
            <w:pPr>
              <w:pStyle w:val="Standard"/>
              <w:keepLines/>
              <w:spacing w:line="240" w:lineRule="auto"/>
              <w:ind w:firstLine="0"/>
              <w:jc w:val="center"/>
              <w:rPr>
                <w:b/>
                <w:bCs/>
              </w:rPr>
            </w:pPr>
            <w:r w:rsidRPr="00B36D7B">
              <w:rPr>
                <w:b/>
                <w:bCs/>
              </w:rPr>
              <w:t>Tax Credits</w:t>
            </w:r>
          </w:p>
        </w:tc>
        <w:tc>
          <w:tcPr>
            <w:tcW w:w="3330" w:type="dxa"/>
            <w:gridSpan w:val="2"/>
            <w:tcMar>
              <w:top w:w="58" w:type="dxa"/>
              <w:left w:w="58" w:type="dxa"/>
              <w:bottom w:w="58" w:type="dxa"/>
              <w:right w:w="58" w:type="dxa"/>
            </w:tcMar>
            <w:vAlign w:val="center"/>
          </w:tcPr>
          <w:p w:rsidRPr="00B36D7B" w:rsidR="00F27C39" w:rsidRDefault="00F27C39" w14:paraId="07F418A2" w14:textId="77777777">
            <w:pPr>
              <w:pStyle w:val="Standard"/>
              <w:keepLines/>
              <w:spacing w:line="240" w:lineRule="auto"/>
              <w:ind w:firstLine="0"/>
              <w:jc w:val="center"/>
              <w:rPr>
                <w:b/>
                <w:bCs/>
              </w:rPr>
            </w:pPr>
            <w:r w:rsidRPr="00B36D7B">
              <w:rPr>
                <w:b/>
                <w:bCs/>
              </w:rPr>
              <w:t>$ per AC Watt Incentive</w:t>
            </w:r>
          </w:p>
        </w:tc>
      </w:tr>
      <w:tr w:rsidRPr="00B36D7B" w:rsidR="00F27C39" w:rsidTr="0004555B" w14:paraId="63856B9F" w14:textId="77777777">
        <w:trPr>
          <w:cantSplit/>
          <w:tblHeader/>
          <w:jc w:val="center"/>
        </w:trPr>
        <w:tc>
          <w:tcPr>
            <w:tcW w:w="2029" w:type="dxa"/>
            <w:tcMar>
              <w:top w:w="58" w:type="dxa"/>
              <w:left w:w="115" w:type="dxa"/>
              <w:bottom w:w="58" w:type="dxa"/>
              <w:right w:w="115" w:type="dxa"/>
            </w:tcMar>
            <w:vAlign w:val="center"/>
          </w:tcPr>
          <w:p w:rsidRPr="00B36D7B" w:rsidR="00F27C39" w:rsidRDefault="00F27C39" w14:paraId="4FB5A130" w14:textId="6B7AA5C5">
            <w:pPr>
              <w:pStyle w:val="Standard"/>
              <w:keepLines/>
              <w:spacing w:line="240" w:lineRule="auto"/>
              <w:ind w:firstLine="0"/>
              <w:jc w:val="center"/>
              <w:rPr>
                <w:b/>
                <w:bCs/>
              </w:rPr>
            </w:pPr>
            <w:r w:rsidRPr="00B36D7B">
              <w:rPr>
                <w:b/>
                <w:bCs/>
              </w:rPr>
              <w:t>I</w:t>
            </w:r>
            <w:r w:rsidR="00BA14D1">
              <w:rPr>
                <w:b/>
                <w:bCs/>
              </w:rPr>
              <w:t xml:space="preserve">nvestment </w:t>
            </w:r>
            <w:r w:rsidRPr="00B36D7B">
              <w:rPr>
                <w:b/>
                <w:bCs/>
              </w:rPr>
              <w:t>T</w:t>
            </w:r>
            <w:r w:rsidR="00BA14D1">
              <w:rPr>
                <w:b/>
                <w:bCs/>
              </w:rPr>
              <w:t xml:space="preserve">ax </w:t>
            </w:r>
            <w:r w:rsidRPr="00B36D7B">
              <w:rPr>
                <w:b/>
                <w:bCs/>
              </w:rPr>
              <w:t>C</w:t>
            </w:r>
            <w:r w:rsidR="00BA14D1">
              <w:rPr>
                <w:b/>
                <w:bCs/>
              </w:rPr>
              <w:t>redit (ITC)</w:t>
            </w:r>
          </w:p>
        </w:tc>
        <w:tc>
          <w:tcPr>
            <w:tcW w:w="2106" w:type="dxa"/>
            <w:tcMar>
              <w:top w:w="58" w:type="dxa"/>
              <w:left w:w="115" w:type="dxa"/>
              <w:bottom w:w="58" w:type="dxa"/>
              <w:right w:w="115" w:type="dxa"/>
            </w:tcMar>
            <w:vAlign w:val="center"/>
          </w:tcPr>
          <w:p w:rsidRPr="00B36D7B" w:rsidR="00F27C39" w:rsidRDefault="00BA14D1" w14:paraId="05F59984" w14:textId="399BBBBC">
            <w:pPr>
              <w:pStyle w:val="Standard"/>
              <w:keepLines/>
              <w:spacing w:line="240" w:lineRule="auto"/>
              <w:ind w:firstLine="0"/>
              <w:jc w:val="center"/>
              <w:rPr>
                <w:b/>
                <w:bCs/>
              </w:rPr>
            </w:pPr>
            <w:r>
              <w:rPr>
                <w:b/>
                <w:bCs/>
              </w:rPr>
              <w:t xml:space="preserve">Low-Income Housing </w:t>
            </w:r>
            <w:r w:rsidR="00B37855">
              <w:rPr>
                <w:b/>
                <w:bCs/>
              </w:rPr>
              <w:t xml:space="preserve">Tax </w:t>
            </w:r>
            <w:r>
              <w:rPr>
                <w:b/>
                <w:bCs/>
              </w:rPr>
              <w:t>Credit (</w:t>
            </w:r>
            <w:r w:rsidRPr="00B36D7B" w:rsidR="00F27C39">
              <w:rPr>
                <w:b/>
                <w:bCs/>
              </w:rPr>
              <w:t>LIHTC</w:t>
            </w:r>
            <w:r>
              <w:rPr>
                <w:b/>
                <w:bCs/>
              </w:rPr>
              <w:t>)</w:t>
            </w:r>
          </w:p>
        </w:tc>
        <w:tc>
          <w:tcPr>
            <w:tcW w:w="1440" w:type="dxa"/>
            <w:tcMar>
              <w:top w:w="58" w:type="dxa"/>
              <w:left w:w="115" w:type="dxa"/>
              <w:bottom w:w="58" w:type="dxa"/>
              <w:right w:w="115" w:type="dxa"/>
            </w:tcMar>
            <w:vAlign w:val="center"/>
          </w:tcPr>
          <w:p w:rsidRPr="00B36D7B" w:rsidR="00F27C39" w:rsidRDefault="00F27C39" w14:paraId="3A0EFFB8" w14:textId="77777777">
            <w:pPr>
              <w:pStyle w:val="Standard"/>
              <w:keepLines/>
              <w:spacing w:line="240" w:lineRule="auto"/>
              <w:ind w:firstLine="0"/>
              <w:jc w:val="center"/>
              <w:rPr>
                <w:b/>
                <w:bCs/>
              </w:rPr>
            </w:pPr>
            <w:r w:rsidRPr="00B36D7B">
              <w:rPr>
                <w:b/>
                <w:bCs/>
              </w:rPr>
              <w:t>Tenant</w:t>
            </w:r>
          </w:p>
        </w:tc>
        <w:tc>
          <w:tcPr>
            <w:tcW w:w="1890" w:type="dxa"/>
            <w:tcMar>
              <w:top w:w="58" w:type="dxa"/>
              <w:left w:w="115" w:type="dxa"/>
              <w:bottom w:w="58" w:type="dxa"/>
              <w:right w:w="115" w:type="dxa"/>
            </w:tcMar>
            <w:vAlign w:val="center"/>
          </w:tcPr>
          <w:p w:rsidRPr="00B36D7B" w:rsidR="00F27C39" w:rsidRDefault="00F27C39" w14:paraId="6C751A78" w14:textId="77777777">
            <w:pPr>
              <w:pStyle w:val="Standard"/>
              <w:keepLines/>
              <w:spacing w:line="240" w:lineRule="auto"/>
              <w:ind w:firstLine="0"/>
              <w:jc w:val="center"/>
              <w:rPr>
                <w:b/>
                <w:bCs/>
              </w:rPr>
            </w:pPr>
            <w:r w:rsidRPr="00B36D7B">
              <w:rPr>
                <w:b/>
                <w:bCs/>
              </w:rPr>
              <w:t>Common Area</w:t>
            </w:r>
          </w:p>
        </w:tc>
      </w:tr>
      <w:tr w:rsidR="00F27C39" w:rsidTr="0004555B" w14:paraId="42D88551" w14:textId="77777777">
        <w:trPr>
          <w:cantSplit/>
          <w:jc w:val="center"/>
        </w:trPr>
        <w:tc>
          <w:tcPr>
            <w:tcW w:w="2029" w:type="dxa"/>
            <w:tcMar>
              <w:top w:w="58" w:type="dxa"/>
              <w:left w:w="115" w:type="dxa"/>
              <w:bottom w:w="58" w:type="dxa"/>
              <w:right w:w="115" w:type="dxa"/>
            </w:tcMar>
            <w:vAlign w:val="center"/>
          </w:tcPr>
          <w:p w:rsidR="00F27C39" w:rsidRDefault="00F27C39" w14:paraId="107EA0AF" w14:textId="77777777">
            <w:pPr>
              <w:pStyle w:val="Standard"/>
              <w:keepLines/>
              <w:spacing w:line="240" w:lineRule="auto"/>
              <w:ind w:firstLine="0"/>
              <w:jc w:val="center"/>
            </w:pPr>
            <w:r>
              <w:t>No</w:t>
            </w:r>
          </w:p>
        </w:tc>
        <w:tc>
          <w:tcPr>
            <w:tcW w:w="2106" w:type="dxa"/>
            <w:tcMar>
              <w:top w:w="58" w:type="dxa"/>
              <w:left w:w="115" w:type="dxa"/>
              <w:bottom w:w="58" w:type="dxa"/>
              <w:right w:w="115" w:type="dxa"/>
            </w:tcMar>
            <w:vAlign w:val="center"/>
          </w:tcPr>
          <w:p w:rsidR="00F27C39" w:rsidRDefault="00F27C39" w14:paraId="64E71EF5" w14:textId="77777777">
            <w:pPr>
              <w:pStyle w:val="Standard"/>
              <w:keepLines/>
              <w:spacing w:line="240" w:lineRule="auto"/>
              <w:ind w:firstLine="0"/>
              <w:jc w:val="center"/>
            </w:pPr>
            <w:r>
              <w:t>No</w:t>
            </w:r>
          </w:p>
        </w:tc>
        <w:tc>
          <w:tcPr>
            <w:tcW w:w="1440" w:type="dxa"/>
            <w:tcMar>
              <w:top w:w="58" w:type="dxa"/>
              <w:left w:w="115" w:type="dxa"/>
              <w:bottom w:w="58" w:type="dxa"/>
              <w:right w:w="115" w:type="dxa"/>
            </w:tcMar>
            <w:vAlign w:val="center"/>
          </w:tcPr>
          <w:p w:rsidR="00F27C39" w:rsidP="00020E27" w:rsidRDefault="00F27C39" w14:paraId="119B7E7D" w14:textId="2526DD35">
            <w:pPr>
              <w:pStyle w:val="Standard"/>
              <w:keepLines/>
              <w:spacing w:line="240" w:lineRule="auto"/>
              <w:ind w:firstLine="0"/>
              <w:jc w:val="right"/>
            </w:pPr>
            <w:r>
              <w:t>$</w:t>
            </w:r>
            <w:r w:rsidR="00511CE3">
              <w:t>2</w:t>
            </w:r>
            <w:r>
              <w:t>.</w:t>
            </w:r>
            <w:r w:rsidR="00511CE3">
              <w:t>97</w:t>
            </w:r>
          </w:p>
        </w:tc>
        <w:tc>
          <w:tcPr>
            <w:tcW w:w="1890" w:type="dxa"/>
            <w:tcMar>
              <w:top w:w="58" w:type="dxa"/>
              <w:left w:w="115" w:type="dxa"/>
              <w:bottom w:w="58" w:type="dxa"/>
              <w:right w:w="115" w:type="dxa"/>
            </w:tcMar>
            <w:vAlign w:val="center"/>
          </w:tcPr>
          <w:p w:rsidR="00F27C39" w:rsidP="00020E27" w:rsidRDefault="00F27C39" w14:paraId="155040F4" w14:textId="66BB75B6">
            <w:pPr>
              <w:pStyle w:val="Standard"/>
              <w:keepLines/>
              <w:spacing w:line="240" w:lineRule="auto"/>
              <w:ind w:firstLine="0"/>
              <w:jc w:val="right"/>
            </w:pPr>
            <w:r>
              <w:t>$1.</w:t>
            </w:r>
            <w:r w:rsidR="00511CE3">
              <w:t>02</w:t>
            </w:r>
          </w:p>
        </w:tc>
      </w:tr>
      <w:tr w:rsidR="00F27C39" w:rsidTr="0004555B" w14:paraId="319C7B48" w14:textId="77777777">
        <w:trPr>
          <w:cantSplit/>
          <w:jc w:val="center"/>
        </w:trPr>
        <w:tc>
          <w:tcPr>
            <w:tcW w:w="2029" w:type="dxa"/>
            <w:tcMar>
              <w:top w:w="58" w:type="dxa"/>
              <w:left w:w="115" w:type="dxa"/>
              <w:bottom w:w="58" w:type="dxa"/>
              <w:right w:w="115" w:type="dxa"/>
            </w:tcMar>
            <w:vAlign w:val="center"/>
          </w:tcPr>
          <w:p w:rsidR="00F27C39" w:rsidRDefault="00F27C39" w14:paraId="077F4281" w14:textId="77777777">
            <w:pPr>
              <w:pStyle w:val="Standard"/>
              <w:keepLines/>
              <w:spacing w:line="240" w:lineRule="auto"/>
              <w:ind w:firstLine="0"/>
              <w:jc w:val="center"/>
            </w:pPr>
            <w:r>
              <w:t>Yes</w:t>
            </w:r>
          </w:p>
        </w:tc>
        <w:tc>
          <w:tcPr>
            <w:tcW w:w="2106" w:type="dxa"/>
            <w:tcMar>
              <w:top w:w="58" w:type="dxa"/>
              <w:left w:w="115" w:type="dxa"/>
              <w:bottom w:w="58" w:type="dxa"/>
              <w:right w:w="115" w:type="dxa"/>
            </w:tcMar>
            <w:vAlign w:val="center"/>
          </w:tcPr>
          <w:p w:rsidR="00F27C39" w:rsidRDefault="00F27C39" w14:paraId="38270CAE" w14:textId="77777777">
            <w:pPr>
              <w:pStyle w:val="Standard"/>
              <w:keepLines/>
              <w:spacing w:line="240" w:lineRule="auto"/>
              <w:ind w:firstLine="0"/>
              <w:jc w:val="center"/>
            </w:pPr>
            <w:r>
              <w:t>No</w:t>
            </w:r>
          </w:p>
        </w:tc>
        <w:tc>
          <w:tcPr>
            <w:tcW w:w="1440" w:type="dxa"/>
            <w:tcMar>
              <w:top w:w="58" w:type="dxa"/>
              <w:left w:w="115" w:type="dxa"/>
              <w:bottom w:w="58" w:type="dxa"/>
              <w:right w:w="115" w:type="dxa"/>
            </w:tcMar>
            <w:vAlign w:val="center"/>
          </w:tcPr>
          <w:p w:rsidR="00F27C39" w:rsidP="00020E27" w:rsidRDefault="00F27C39" w14:paraId="4D1E436E" w14:textId="20F7D182">
            <w:pPr>
              <w:pStyle w:val="Standard"/>
              <w:keepLines/>
              <w:spacing w:line="240" w:lineRule="auto"/>
              <w:ind w:firstLine="0"/>
              <w:jc w:val="right"/>
            </w:pPr>
            <w:r>
              <w:t>$2.</w:t>
            </w:r>
            <w:r w:rsidR="00511CE3">
              <w:t>09</w:t>
            </w:r>
          </w:p>
        </w:tc>
        <w:tc>
          <w:tcPr>
            <w:tcW w:w="1890" w:type="dxa"/>
            <w:tcMar>
              <w:top w:w="58" w:type="dxa"/>
              <w:left w:w="115" w:type="dxa"/>
              <w:bottom w:w="58" w:type="dxa"/>
              <w:right w:w="115" w:type="dxa"/>
            </w:tcMar>
            <w:vAlign w:val="center"/>
          </w:tcPr>
          <w:p w:rsidR="00F27C39" w:rsidP="00020E27" w:rsidRDefault="00F27C39" w14:paraId="1D0DB319" w14:textId="205554DD">
            <w:pPr>
              <w:pStyle w:val="Standard"/>
              <w:keepLines/>
              <w:spacing w:line="240" w:lineRule="auto"/>
              <w:ind w:firstLine="0"/>
              <w:jc w:val="right"/>
            </w:pPr>
            <w:r>
              <w:t>$0.</w:t>
            </w:r>
            <w:r w:rsidR="00511CE3">
              <w:t>74</w:t>
            </w:r>
          </w:p>
        </w:tc>
      </w:tr>
      <w:tr w:rsidR="00F27C39" w:rsidTr="0004555B" w14:paraId="23DF853E" w14:textId="77777777">
        <w:trPr>
          <w:cantSplit/>
          <w:jc w:val="center"/>
        </w:trPr>
        <w:tc>
          <w:tcPr>
            <w:tcW w:w="2029" w:type="dxa"/>
            <w:tcMar>
              <w:top w:w="58" w:type="dxa"/>
              <w:left w:w="115" w:type="dxa"/>
              <w:bottom w:w="58" w:type="dxa"/>
              <w:right w:w="115" w:type="dxa"/>
            </w:tcMar>
            <w:vAlign w:val="center"/>
          </w:tcPr>
          <w:p w:rsidR="00F27C39" w:rsidRDefault="00F27C39" w14:paraId="5B3251A5" w14:textId="77777777">
            <w:pPr>
              <w:pStyle w:val="Standard"/>
              <w:keepLines/>
              <w:spacing w:line="240" w:lineRule="auto"/>
              <w:ind w:firstLine="0"/>
              <w:jc w:val="center"/>
            </w:pPr>
            <w:r>
              <w:t>No</w:t>
            </w:r>
          </w:p>
        </w:tc>
        <w:tc>
          <w:tcPr>
            <w:tcW w:w="2106" w:type="dxa"/>
            <w:tcMar>
              <w:top w:w="58" w:type="dxa"/>
              <w:left w:w="115" w:type="dxa"/>
              <w:bottom w:w="58" w:type="dxa"/>
              <w:right w:w="115" w:type="dxa"/>
            </w:tcMar>
            <w:vAlign w:val="center"/>
          </w:tcPr>
          <w:p w:rsidR="00F27C39" w:rsidRDefault="00F27C39" w14:paraId="347314A3" w14:textId="77777777">
            <w:pPr>
              <w:pStyle w:val="Standard"/>
              <w:keepLines/>
              <w:spacing w:line="240" w:lineRule="auto"/>
              <w:ind w:firstLine="0"/>
              <w:jc w:val="center"/>
            </w:pPr>
            <w:r>
              <w:t>Yes</w:t>
            </w:r>
          </w:p>
        </w:tc>
        <w:tc>
          <w:tcPr>
            <w:tcW w:w="1440" w:type="dxa"/>
            <w:tcMar>
              <w:top w:w="58" w:type="dxa"/>
              <w:left w:w="115" w:type="dxa"/>
              <w:bottom w:w="58" w:type="dxa"/>
              <w:right w:w="115" w:type="dxa"/>
            </w:tcMar>
            <w:vAlign w:val="center"/>
          </w:tcPr>
          <w:p w:rsidR="00F27C39" w:rsidP="00020E27" w:rsidRDefault="00F27C39" w14:paraId="3DEB880F" w14:textId="12AE440F">
            <w:pPr>
              <w:pStyle w:val="Standard"/>
              <w:keepLines/>
              <w:spacing w:line="240" w:lineRule="auto"/>
              <w:ind w:firstLine="0"/>
              <w:jc w:val="right"/>
            </w:pPr>
            <w:r>
              <w:t>$2.</w:t>
            </w:r>
            <w:r w:rsidR="00511CE3">
              <w:t>09</w:t>
            </w:r>
          </w:p>
        </w:tc>
        <w:tc>
          <w:tcPr>
            <w:tcW w:w="1890" w:type="dxa"/>
            <w:tcMar>
              <w:top w:w="58" w:type="dxa"/>
              <w:left w:w="115" w:type="dxa"/>
              <w:bottom w:w="58" w:type="dxa"/>
              <w:right w:w="115" w:type="dxa"/>
            </w:tcMar>
            <w:vAlign w:val="center"/>
          </w:tcPr>
          <w:p w:rsidR="00F27C39" w:rsidP="00020E27" w:rsidRDefault="00F27C39" w14:paraId="0FCF6EEF" w14:textId="6C9ADC43">
            <w:pPr>
              <w:pStyle w:val="Standard"/>
              <w:keepLines/>
              <w:spacing w:line="240" w:lineRule="auto"/>
              <w:ind w:firstLine="0"/>
              <w:jc w:val="right"/>
            </w:pPr>
            <w:r>
              <w:t>$0.</w:t>
            </w:r>
            <w:r w:rsidR="00511CE3">
              <w:t>74</w:t>
            </w:r>
          </w:p>
        </w:tc>
      </w:tr>
      <w:tr w:rsidR="00F27C39" w:rsidTr="0004555B" w14:paraId="28B8E2B5" w14:textId="77777777">
        <w:trPr>
          <w:cantSplit/>
          <w:jc w:val="center"/>
        </w:trPr>
        <w:tc>
          <w:tcPr>
            <w:tcW w:w="2029" w:type="dxa"/>
            <w:tcMar>
              <w:top w:w="58" w:type="dxa"/>
              <w:left w:w="115" w:type="dxa"/>
              <w:bottom w:w="58" w:type="dxa"/>
              <w:right w:w="115" w:type="dxa"/>
            </w:tcMar>
            <w:vAlign w:val="center"/>
          </w:tcPr>
          <w:p w:rsidR="00F27C39" w:rsidRDefault="00F27C39" w14:paraId="51075AC3" w14:textId="77777777">
            <w:pPr>
              <w:pStyle w:val="Standard"/>
              <w:keepLines/>
              <w:spacing w:line="240" w:lineRule="auto"/>
              <w:ind w:firstLine="0"/>
              <w:jc w:val="center"/>
            </w:pPr>
            <w:r>
              <w:t>Yes</w:t>
            </w:r>
          </w:p>
        </w:tc>
        <w:tc>
          <w:tcPr>
            <w:tcW w:w="2106" w:type="dxa"/>
            <w:tcMar>
              <w:top w:w="58" w:type="dxa"/>
              <w:left w:w="115" w:type="dxa"/>
              <w:bottom w:w="58" w:type="dxa"/>
              <w:right w:w="115" w:type="dxa"/>
            </w:tcMar>
            <w:vAlign w:val="center"/>
          </w:tcPr>
          <w:p w:rsidR="00F27C39" w:rsidRDefault="00F27C39" w14:paraId="2231D05F" w14:textId="77777777">
            <w:pPr>
              <w:pStyle w:val="Standard"/>
              <w:keepLines/>
              <w:spacing w:line="240" w:lineRule="auto"/>
              <w:ind w:firstLine="0"/>
              <w:jc w:val="center"/>
            </w:pPr>
            <w:r>
              <w:t>Yes</w:t>
            </w:r>
          </w:p>
        </w:tc>
        <w:tc>
          <w:tcPr>
            <w:tcW w:w="1440" w:type="dxa"/>
            <w:tcMar>
              <w:top w:w="58" w:type="dxa"/>
              <w:left w:w="115" w:type="dxa"/>
              <w:bottom w:w="58" w:type="dxa"/>
              <w:right w:w="115" w:type="dxa"/>
            </w:tcMar>
            <w:vAlign w:val="center"/>
          </w:tcPr>
          <w:p w:rsidR="00F27C39" w:rsidP="00020E27" w:rsidRDefault="00F27C39" w14:paraId="6C1384B5" w14:textId="23D6C662">
            <w:pPr>
              <w:pStyle w:val="Standard"/>
              <w:keepLines/>
              <w:spacing w:line="240" w:lineRule="auto"/>
              <w:ind w:firstLine="0"/>
              <w:jc w:val="right"/>
            </w:pPr>
            <w:r>
              <w:t>$1.</w:t>
            </w:r>
            <w:r w:rsidR="00511CE3">
              <w:t>49</w:t>
            </w:r>
          </w:p>
        </w:tc>
        <w:tc>
          <w:tcPr>
            <w:tcW w:w="1890" w:type="dxa"/>
            <w:tcMar>
              <w:top w:w="58" w:type="dxa"/>
              <w:left w:w="115" w:type="dxa"/>
              <w:bottom w:w="58" w:type="dxa"/>
              <w:right w:w="115" w:type="dxa"/>
            </w:tcMar>
            <w:vAlign w:val="center"/>
          </w:tcPr>
          <w:p w:rsidR="00F27C39" w:rsidP="00020E27" w:rsidRDefault="00F27C39" w14:paraId="43D6F66F" w14:textId="2F1FD9D5">
            <w:pPr>
              <w:pStyle w:val="Standard"/>
              <w:keepLines/>
              <w:spacing w:line="240" w:lineRule="auto"/>
              <w:ind w:firstLine="0"/>
              <w:jc w:val="right"/>
            </w:pPr>
            <w:r>
              <w:t>$0.</w:t>
            </w:r>
            <w:r w:rsidR="00511CE3">
              <w:t>56</w:t>
            </w:r>
          </w:p>
        </w:tc>
      </w:tr>
    </w:tbl>
    <w:p w:rsidR="00306B73" w:rsidP="002A6FF2" w:rsidRDefault="000E4103" w14:paraId="23568E61" w14:textId="1548F6F7">
      <w:pPr>
        <w:pStyle w:val="Standard"/>
        <w:spacing w:before="240"/>
      </w:pPr>
      <w:r>
        <w:t>Finally, the petition requests</w:t>
      </w:r>
      <w:r w:rsidR="00964E29">
        <w:t xml:space="preserve"> authoriz</w:t>
      </w:r>
      <w:r>
        <w:t>ation for</w:t>
      </w:r>
      <w:r w:rsidR="00964E29">
        <w:t xml:space="preserve"> the SOMAH </w:t>
      </w:r>
      <w:r w:rsidR="008000C0">
        <w:t>P</w:t>
      </w:r>
      <w:r w:rsidR="00964E29">
        <w:t xml:space="preserve">rogram </w:t>
      </w:r>
      <w:r w:rsidR="008000C0">
        <w:t>A</w:t>
      </w:r>
      <w:r w:rsidR="00964E29">
        <w:t xml:space="preserve">dministrator to propose future adjustments to incentive levels </w:t>
      </w:r>
      <w:r w:rsidR="00A554CB">
        <w:t xml:space="preserve">via </w:t>
      </w:r>
      <w:r w:rsidR="002A6FF2">
        <w:t>A</w:t>
      </w:r>
      <w:r w:rsidR="00A554CB">
        <w:t xml:space="preserve">dvice </w:t>
      </w:r>
      <w:r w:rsidR="002A6FF2">
        <w:t>L</w:t>
      </w:r>
      <w:r w:rsidR="00A554CB">
        <w:t>etter</w:t>
      </w:r>
      <w:r w:rsidR="00857E7B">
        <w:t>.</w:t>
      </w:r>
      <w:r w:rsidR="00C66907">
        <w:t xml:space="preserve"> </w:t>
      </w:r>
    </w:p>
    <w:p w:rsidR="00C66907" w:rsidP="00C66907" w:rsidRDefault="00C66907" w14:paraId="6BDA7036" w14:textId="112EB969">
      <w:pPr>
        <w:pStyle w:val="Standard"/>
      </w:pPr>
      <w:r>
        <w:lastRenderedPageBreak/>
        <w:t xml:space="preserve">The petition identifies </w:t>
      </w:r>
      <w:proofErr w:type="gramStart"/>
      <w:r w:rsidR="00792AF7">
        <w:t>several</w:t>
      </w:r>
      <w:proofErr w:type="gramEnd"/>
      <w:r>
        <w:t xml:space="preserve"> reasons for </w:t>
      </w:r>
      <w:r w:rsidR="00E168EA">
        <w:t xml:space="preserve">the requested modifications, including that program participation has essentially stalled </w:t>
      </w:r>
      <w:r w:rsidR="00533B01">
        <w:t>after initial demand was satisfied</w:t>
      </w:r>
      <w:r w:rsidR="00270D05">
        <w:t xml:space="preserve">. The petition also </w:t>
      </w:r>
      <w:r w:rsidR="007F29FA">
        <w:t>references</w:t>
      </w:r>
      <w:r w:rsidR="00C16068">
        <w:t xml:space="preserve"> the </w:t>
      </w:r>
      <w:r w:rsidR="0072563F">
        <w:t>202</w:t>
      </w:r>
      <w:r w:rsidR="006A3356">
        <w:t>1</w:t>
      </w:r>
      <w:r w:rsidR="0072563F">
        <w:t xml:space="preserve"> SOMAH program evaluation</w:t>
      </w:r>
      <w:r w:rsidR="007F29FA">
        <w:t>, which</w:t>
      </w:r>
      <w:r w:rsidR="0072563F">
        <w:t xml:space="preserve"> </w:t>
      </w:r>
      <w:r w:rsidR="006632AD">
        <w:t xml:space="preserve">concludes that SOMAH is not a market transformation program, </w:t>
      </w:r>
      <w:r w:rsidR="00B425DC">
        <w:t>suggest</w:t>
      </w:r>
      <w:r w:rsidR="00002D22">
        <w:t>ing that incentive step-downs may not be appropriate.</w:t>
      </w:r>
      <w:r w:rsidR="00EB3B4F">
        <w:rPr>
          <w:rStyle w:val="FootnoteReference"/>
        </w:rPr>
        <w:footnoteReference w:id="6"/>
      </w:r>
      <w:r w:rsidRPr="000474B8" w:rsidR="00011078">
        <w:rPr>
          <w:vertAlign w:val="superscript"/>
        </w:rPr>
        <w:t>,</w:t>
      </w:r>
      <w:r w:rsidR="00011078">
        <w:rPr>
          <w:rStyle w:val="FootnoteReference"/>
        </w:rPr>
        <w:footnoteReference w:id="7"/>
      </w:r>
      <w:r w:rsidR="001D4C35">
        <w:t xml:space="preserve"> In support of this notion, the petition points to the Multifamily Affordable Solar Housing </w:t>
      </w:r>
      <w:r w:rsidR="00E65068">
        <w:t xml:space="preserve">(MASH) </w:t>
      </w:r>
      <w:r w:rsidR="001D4C35">
        <w:t>and Low-Income Weatherization Program for Multifamily Properties</w:t>
      </w:r>
      <w:r w:rsidR="00E65068">
        <w:t xml:space="preserve"> (LIWP)</w:t>
      </w:r>
      <w:r w:rsidR="001D4C35">
        <w:t>, neither of which employ(ed) an incentive step-down process</w:t>
      </w:r>
      <w:r w:rsidR="003D299D">
        <w:t>.</w:t>
      </w:r>
    </w:p>
    <w:p w:rsidR="007D1ED5" w:rsidP="006E6574" w:rsidRDefault="00784256" w14:paraId="6170ECE5" w14:textId="42BCB396">
      <w:pPr>
        <w:pStyle w:val="Standard"/>
      </w:pPr>
      <w:r>
        <w:t>Sunrun Inc. (Sunrun), Southern California Edison Company (SCE), and California Solar &amp; Storage Association (CALSSA)</w:t>
      </w:r>
      <w:r w:rsidR="003F1E59">
        <w:t xml:space="preserve"> filed timely responses to the petition</w:t>
      </w:r>
      <w:r w:rsidR="00C05E74">
        <w:t>.</w:t>
      </w:r>
      <w:r w:rsidR="0068531C">
        <w:t xml:space="preserve"> </w:t>
      </w:r>
    </w:p>
    <w:p w:rsidR="003E3E08" w:rsidP="006E6574" w:rsidRDefault="00302EBD" w14:paraId="3434D38A" w14:textId="104E3FE5">
      <w:pPr>
        <w:pStyle w:val="Standard"/>
      </w:pPr>
      <w:r>
        <w:t xml:space="preserve">CALSSA and Sunrun support </w:t>
      </w:r>
      <w:r w:rsidR="00024E80">
        <w:t>the petition</w:t>
      </w:r>
      <w:r w:rsidR="00455814">
        <w:t>.</w:t>
      </w:r>
      <w:r w:rsidR="00024E80">
        <w:t xml:space="preserve"> CALSSA acknowledges the proposed incentive levels require adjustment </w:t>
      </w:r>
      <w:r w:rsidR="001557B7">
        <w:t>to account for passage of the federal Inflation Reduction Act, which sets the solar Investment Tax Credit at 30</w:t>
      </w:r>
      <w:r w:rsidR="00020E27">
        <w:t> </w:t>
      </w:r>
      <w:r w:rsidR="001557B7">
        <w:t>percent</w:t>
      </w:r>
      <w:r w:rsidR="5AEF7D6D">
        <w:t xml:space="preserve">, has additional tax incentive </w:t>
      </w:r>
      <w:r w:rsidR="4FC0964E">
        <w:t xml:space="preserve">bonuses based on location or </w:t>
      </w:r>
      <w:r w:rsidR="0D070C8D">
        <w:t>multifamily affordability qualifications</w:t>
      </w:r>
      <w:r w:rsidR="5AEF7D6D">
        <w:t>,</w:t>
      </w:r>
      <w:r w:rsidR="001557B7">
        <w:t xml:space="preserve"> and allows non-profit organizations that do not pay federal income tax to receive an equivalent cash refund</w:t>
      </w:r>
      <w:r w:rsidR="00432DF0">
        <w:t>, and further allows taxpaying entities without sufficient tax liability to sell the tax credit</w:t>
      </w:r>
      <w:r w:rsidR="001557B7">
        <w:t>.</w:t>
      </w:r>
      <w:r w:rsidR="00432DF0">
        <w:t xml:space="preserve"> </w:t>
      </w:r>
      <w:r w:rsidR="00E1508F">
        <w:t xml:space="preserve">CALSSA also recommends </w:t>
      </w:r>
      <w:r w:rsidR="007D13CB">
        <w:t xml:space="preserve">a simpler incentive structure than </w:t>
      </w:r>
      <w:r w:rsidR="00377A7B">
        <w:t xml:space="preserve">the petition, </w:t>
      </w:r>
      <w:r w:rsidR="001B1DBB">
        <w:t xml:space="preserve">recommending no distinction between </w:t>
      </w:r>
      <w:r w:rsidR="00ED0666">
        <w:t>properties</w:t>
      </w:r>
      <w:r w:rsidR="00115E0A">
        <w:t xml:space="preserve"> located</w:t>
      </w:r>
      <w:r w:rsidR="00ED0666">
        <w:t xml:space="preserve"> in disadvantaged communities and </w:t>
      </w:r>
      <w:r w:rsidR="00ED0666">
        <w:lastRenderedPageBreak/>
        <w:t>properties outside of disadvantaged communities</w:t>
      </w:r>
      <w:r w:rsidR="00EC2984">
        <w:t xml:space="preserve"> because, CALSSA asserts, project costs depend more </w:t>
      </w:r>
      <w:r w:rsidR="00AC729B">
        <w:t>on materials, labor, financing and transactional costs than on whether a property is located in a disadvantaged community</w:t>
      </w:r>
      <w:r w:rsidR="00ED0666">
        <w:t xml:space="preserve">. </w:t>
      </w:r>
      <w:r w:rsidR="00670722">
        <w:t xml:space="preserve">CALSSA </w:t>
      </w:r>
      <w:r w:rsidR="006C6D64">
        <w:t xml:space="preserve">and Sunrun </w:t>
      </w:r>
      <w:r w:rsidR="00233EEA">
        <w:t xml:space="preserve">request one further </w:t>
      </w:r>
      <w:r w:rsidR="00553540">
        <w:t>revision</w:t>
      </w:r>
      <w:r w:rsidR="00233EEA">
        <w:t xml:space="preserve">, which is </w:t>
      </w:r>
      <w:r w:rsidR="00B307A6">
        <w:t xml:space="preserve">that any application for which the final incentive claim form has not been filed should receive the </w:t>
      </w:r>
      <w:r w:rsidR="00C56D65">
        <w:t>updated</w:t>
      </w:r>
      <w:r w:rsidR="00B307A6">
        <w:t xml:space="preserve"> incentives without the need for the developer to withdraw its reservation and restart the application.</w:t>
      </w:r>
    </w:p>
    <w:p w:rsidR="00EE3060" w:rsidP="006E6574" w:rsidRDefault="00536A5B" w14:paraId="30F7524A" w14:textId="27DBA1C3">
      <w:pPr>
        <w:pStyle w:val="Standard"/>
      </w:pPr>
      <w:r>
        <w:t>SCE recommends denying the petition</w:t>
      </w:r>
      <w:r w:rsidR="008F601B">
        <w:t>, suggesting it is premature</w:t>
      </w:r>
      <w:r w:rsidR="004A5CEE">
        <w:t>. SCE advocates to</w:t>
      </w:r>
      <w:r w:rsidR="00165767">
        <w:t xml:space="preserve"> instead</w:t>
      </w:r>
      <w:r w:rsidR="00C721FC">
        <w:t xml:space="preserve"> address the issues presented in the petition</w:t>
      </w:r>
      <w:r w:rsidR="00C63ECB">
        <w:t>,</w:t>
      </w:r>
      <w:r w:rsidR="00C721FC">
        <w:t xml:space="preserve"> </w:t>
      </w:r>
      <w:r w:rsidR="00480443">
        <w:t>along with</w:t>
      </w:r>
      <w:r w:rsidR="009E6080">
        <w:t xml:space="preserve"> the findings of the</w:t>
      </w:r>
      <w:r w:rsidR="004A33C5">
        <w:t xml:space="preserve"> 2020</w:t>
      </w:r>
      <w:r w:rsidR="00020E27">
        <w:noBreakHyphen/>
      </w:r>
      <w:r w:rsidR="007316AE">
        <w:t>2021</w:t>
      </w:r>
      <w:r w:rsidR="00020E27">
        <w:t> </w:t>
      </w:r>
      <w:r w:rsidR="009E6080">
        <w:t>SOMAH evaluation report</w:t>
      </w:r>
      <w:r w:rsidR="007316AE">
        <w:t>s</w:t>
      </w:r>
      <w:r w:rsidR="00C63ECB">
        <w:t>,</w:t>
      </w:r>
      <w:r w:rsidR="00480443">
        <w:t xml:space="preserve"> </w:t>
      </w:r>
      <w:r w:rsidR="00605DF6">
        <w:t xml:space="preserve">in a workshop </w:t>
      </w:r>
      <w:r w:rsidR="00480443">
        <w:t xml:space="preserve">to consider </w:t>
      </w:r>
      <w:r w:rsidR="00365D97">
        <w:t xml:space="preserve">program changes to ensure the SOMAH program achieves its </w:t>
      </w:r>
      <w:r w:rsidR="000D05DD">
        <w:t>goals.</w:t>
      </w:r>
      <w:r w:rsidR="00F95902">
        <w:rPr>
          <w:rStyle w:val="FootnoteReference"/>
        </w:rPr>
        <w:footnoteReference w:id="8"/>
      </w:r>
      <w:r w:rsidR="00AD1B9B">
        <w:t xml:space="preserve"> SCE also requests th</w:t>
      </w:r>
      <w:r w:rsidR="00D979BE">
        <w:t>e Commission to develop criteria or guidance for determining if there is “adequate interest and participation in the program</w:t>
      </w:r>
      <w:r w:rsidR="00CA5323">
        <w:t>” to continue funding or whether to “credit uncommitted funds back to ratepayers pursuant to Section</w:t>
      </w:r>
      <w:r w:rsidR="00020E27">
        <w:t> </w:t>
      </w:r>
      <w:r w:rsidR="00CA5323">
        <w:t>748.5.”</w:t>
      </w:r>
    </w:p>
    <w:p w:rsidR="0092008A" w:rsidP="006E6574" w:rsidRDefault="0092008A" w14:paraId="776EFF90" w14:textId="08EC3649">
      <w:pPr>
        <w:pStyle w:val="Standard"/>
      </w:pPr>
      <w:r>
        <w:t>CSE timely filed a reply to responses</w:t>
      </w:r>
      <w:r w:rsidR="002824E1">
        <w:t>.</w:t>
      </w:r>
      <w:r w:rsidR="006011DB">
        <w:rPr>
          <w:rStyle w:val="FootnoteReference"/>
        </w:rPr>
        <w:footnoteReference w:id="9"/>
      </w:r>
      <w:r w:rsidR="00114178">
        <w:t xml:space="preserve"> CSE disagrees </w:t>
      </w:r>
      <w:r w:rsidR="00701D5B">
        <w:t xml:space="preserve">both </w:t>
      </w:r>
      <w:r w:rsidR="00114178">
        <w:t xml:space="preserve">with SCE’s </w:t>
      </w:r>
      <w:r w:rsidR="00D374EC">
        <w:t>recommendation for a more holistic review of the</w:t>
      </w:r>
      <w:r w:rsidR="004A33C5">
        <w:t xml:space="preserve"> 2020</w:t>
      </w:r>
      <w:r w:rsidR="00020E27">
        <w:noBreakHyphen/>
      </w:r>
      <w:r w:rsidR="00183065">
        <w:t>2021</w:t>
      </w:r>
      <w:r w:rsidR="00D374EC">
        <w:t xml:space="preserve"> </w:t>
      </w:r>
      <w:r w:rsidR="00A6058A">
        <w:t xml:space="preserve">SOMAH </w:t>
      </w:r>
      <w:r w:rsidR="004A33C5">
        <w:t>p</w:t>
      </w:r>
      <w:r w:rsidR="00A6058A">
        <w:t xml:space="preserve">rogram evaluation findings and </w:t>
      </w:r>
      <w:r w:rsidR="00421C6C">
        <w:t xml:space="preserve">with SCE’s suggestion that further guidance is needed for determining “adequate participation and interest” </w:t>
      </w:r>
      <w:r w:rsidR="004D1CF4">
        <w:t>in the program</w:t>
      </w:r>
      <w:r w:rsidR="000121F0">
        <w:t>, noting the Commission</w:t>
      </w:r>
      <w:r w:rsidR="005D50BC">
        <w:t xml:space="preserve"> has already reached such finding </w:t>
      </w:r>
      <w:r w:rsidR="00FB65CF">
        <w:t>in D.20-04-012</w:t>
      </w:r>
      <w:r w:rsidR="001C1D46">
        <w:t>. CSE</w:t>
      </w:r>
      <w:r w:rsidR="00664195">
        <w:t xml:space="preserve">’s reply </w:t>
      </w:r>
      <w:r w:rsidR="00BF4EBB">
        <w:t xml:space="preserve">states it </w:t>
      </w:r>
      <w:r w:rsidR="00664195">
        <w:t xml:space="preserve">is amenable to CALSSA’s and Sunrun’s proposed revision </w:t>
      </w:r>
      <w:r w:rsidR="00C74BE3">
        <w:t xml:space="preserve">to allow any project </w:t>
      </w:r>
      <w:r w:rsidR="00C74BE3">
        <w:lastRenderedPageBreak/>
        <w:t xml:space="preserve">that has already submitted a SOMAH application but has not yet submitted </w:t>
      </w:r>
      <w:r w:rsidR="006D114F">
        <w:t>its</w:t>
      </w:r>
      <w:r w:rsidR="00E00D5D">
        <w:t xml:space="preserve"> Incentive Claim Milestone</w:t>
      </w:r>
      <w:r w:rsidR="006D114F">
        <w:t xml:space="preserve"> </w:t>
      </w:r>
      <w:r w:rsidR="00D26B76">
        <w:t xml:space="preserve">documentation </w:t>
      </w:r>
      <w:r w:rsidR="006D114F">
        <w:t xml:space="preserve">to request the </w:t>
      </w:r>
      <w:r w:rsidR="00560C75">
        <w:t>revised</w:t>
      </w:r>
      <w:r w:rsidR="006D114F">
        <w:t xml:space="preserve"> incentive level</w:t>
      </w:r>
      <w:r w:rsidR="00077124">
        <w:t>,</w:t>
      </w:r>
      <w:r w:rsidR="006D114F">
        <w:t xml:space="preserve"> </w:t>
      </w:r>
      <w:r w:rsidR="00875F75">
        <w:t>unless it has already received more than one extension beyond its original 18</w:t>
      </w:r>
      <w:r w:rsidR="00020E27">
        <w:noBreakHyphen/>
      </w:r>
      <w:r w:rsidR="00875F75">
        <w:t>month reservation due date</w:t>
      </w:r>
      <w:r w:rsidR="009F1EBC">
        <w:t xml:space="preserve">, urging that projects with existing applications move forward </w:t>
      </w:r>
      <w:r w:rsidR="00655732">
        <w:t xml:space="preserve">at the current incentive rates where </w:t>
      </w:r>
      <w:r w:rsidR="000C791E">
        <w:t>economically feasible</w:t>
      </w:r>
      <w:r w:rsidR="00875F75">
        <w:t>.</w:t>
      </w:r>
      <w:r w:rsidR="00E24E85">
        <w:t xml:space="preserve"> CSE does not support CALSSA’s revision to </w:t>
      </w:r>
      <w:r w:rsidR="0098672B">
        <w:t>the petition’s proposed incentive levels</w:t>
      </w:r>
      <w:r w:rsidR="00416B3D">
        <w:t xml:space="preserve">, asserting the higher incentives for projects located in disadvantaged communities is warranted and necessary to achieve </w:t>
      </w:r>
      <w:r w:rsidR="0040231E">
        <w:t xml:space="preserve">the </w:t>
      </w:r>
      <w:r w:rsidR="002B2AD9">
        <w:t xml:space="preserve">SOMAH </w:t>
      </w:r>
      <w:r w:rsidR="008000C0">
        <w:t>P</w:t>
      </w:r>
      <w:r w:rsidR="002B2AD9">
        <w:t xml:space="preserve">rogram </w:t>
      </w:r>
      <w:r w:rsidR="008000C0">
        <w:t>A</w:t>
      </w:r>
      <w:r w:rsidR="002B2AD9">
        <w:t xml:space="preserve">dministrator’s </w:t>
      </w:r>
      <w:r w:rsidR="00FD4BA6">
        <w:t>target</w:t>
      </w:r>
      <w:r w:rsidR="00A53808">
        <w:t xml:space="preserve"> of 40</w:t>
      </w:r>
      <w:r w:rsidR="00020E27">
        <w:t> </w:t>
      </w:r>
      <w:r w:rsidR="00A53808">
        <w:t>percent of capacity installed in disadvantaged communities.</w:t>
      </w:r>
      <w:r w:rsidR="008C0CDD">
        <w:rPr>
          <w:rStyle w:val="FootnoteReference"/>
        </w:rPr>
        <w:footnoteReference w:id="10"/>
      </w:r>
      <w:r w:rsidR="0040231E">
        <w:t xml:space="preserve"> </w:t>
      </w:r>
    </w:p>
    <w:p w:rsidR="005A148C" w:rsidP="00834C05" w:rsidRDefault="00864D32" w14:paraId="1B1CA226" w14:textId="5E78ED2B">
      <w:pPr>
        <w:pStyle w:val="Heading1"/>
        <w:numPr>
          <w:ilvl w:val="0"/>
          <w:numId w:val="1"/>
        </w:numPr>
      </w:pPr>
      <w:bookmarkStart w:name="_Toc125572404" w:id="5"/>
      <w:r>
        <w:t>Standard of Review</w:t>
      </w:r>
      <w:bookmarkEnd w:id="5"/>
    </w:p>
    <w:p w:rsidRPr="009F7F1D" w:rsidR="009F7F1D" w:rsidP="009F7F1D" w:rsidRDefault="009F7F1D" w14:paraId="74741CE8" w14:textId="3895A2D6">
      <w:pPr>
        <w:pStyle w:val="Standard"/>
      </w:pPr>
      <w:r w:rsidRPr="009F7F1D">
        <w:t>Rule 16.4 of the Commission’s Rules of Practice and Procedure (Rules) governs petitions for modification. Rule</w:t>
      </w:r>
      <w:r w:rsidR="00020E27">
        <w:t> </w:t>
      </w:r>
      <w:r w:rsidRPr="009F7F1D">
        <w:t>16.4 derives its authority from Pub</w:t>
      </w:r>
      <w:r w:rsidR="00DE22C0">
        <w:t>lic</w:t>
      </w:r>
      <w:r w:rsidRPr="009F7F1D">
        <w:t xml:space="preserve"> Util</w:t>
      </w:r>
      <w:r w:rsidR="00DE22C0">
        <w:t>ities</w:t>
      </w:r>
      <w:r w:rsidRPr="009F7F1D">
        <w:t xml:space="preserve"> Code Section</w:t>
      </w:r>
      <w:r w:rsidR="00020E27">
        <w:t> </w:t>
      </w:r>
      <w:r w:rsidRPr="009F7F1D">
        <w:t>1708 that allows the Commission to rescind, alter, or amend any decision made by it.</w:t>
      </w:r>
    </w:p>
    <w:p w:rsidR="0063491C" w:rsidP="00C679AF" w:rsidRDefault="009F7F1D" w14:paraId="3485474C" w14:textId="5F94C056">
      <w:pPr>
        <w:pStyle w:val="Standard"/>
        <w:widowControl w:val="0"/>
      </w:pPr>
      <w:r w:rsidRPr="009F7F1D">
        <w:t>In addressing the petition, we consider whether C</w:t>
      </w:r>
      <w:r w:rsidR="0097619D">
        <w:t>S</w:t>
      </w:r>
      <w:r w:rsidRPr="009F7F1D">
        <w:t>E met its substantial burden, pursuant to Rule 16.4(b), to demonstrate that the Commission should exercise its discretion to modify D.17-12-022.</w:t>
      </w:r>
      <w:r w:rsidRPr="009F7F1D">
        <w:rPr>
          <w:vertAlign w:val="superscript"/>
        </w:rPr>
        <w:footnoteReference w:id="11"/>
      </w:r>
      <w:r w:rsidRPr="009F7F1D">
        <w:t xml:space="preserve"> We also consider whether the petition justifies its late submission in accordance with Rule</w:t>
      </w:r>
      <w:r w:rsidR="00020E27">
        <w:t> </w:t>
      </w:r>
      <w:r w:rsidRPr="009F7F1D">
        <w:t>16.4(d)</w:t>
      </w:r>
      <w:r w:rsidR="005939A5">
        <w:t>.</w:t>
      </w:r>
    </w:p>
    <w:p w:rsidRPr="0063491C" w:rsidR="006A3872" w:rsidP="00290F46" w:rsidRDefault="00E219E0" w14:paraId="65B30F76" w14:textId="2473F1D3">
      <w:pPr>
        <w:pStyle w:val="Standard"/>
      </w:pPr>
      <w:r>
        <w:lastRenderedPageBreak/>
        <w:t xml:space="preserve">The petition </w:t>
      </w:r>
      <w:r w:rsidR="007C1724">
        <w:t>offers</w:t>
      </w:r>
      <w:r w:rsidR="00924F91">
        <w:t xml:space="preserve"> justification for the requested relief</w:t>
      </w:r>
      <w:r w:rsidR="00AE3A0C">
        <w:t xml:space="preserve">, which we address </w:t>
      </w:r>
      <w:r w:rsidR="00A134AB">
        <w:t>in the following sections</w:t>
      </w:r>
      <w:r w:rsidR="00630276">
        <w:t xml:space="preserve">. </w:t>
      </w:r>
      <w:r w:rsidR="00BF39EC">
        <w:t xml:space="preserve">The petition explains that </w:t>
      </w:r>
      <w:r w:rsidR="00680B33">
        <w:t xml:space="preserve">the circumstances giving rise to </w:t>
      </w:r>
      <w:r w:rsidR="00841C03">
        <w:t xml:space="preserve">the specific relief sought only occurred </w:t>
      </w:r>
      <w:r w:rsidR="00DC618D">
        <w:t>beginning in October</w:t>
      </w:r>
      <w:r w:rsidR="00020E27">
        <w:t> </w:t>
      </w:r>
      <w:r w:rsidR="00DC618D">
        <w:t xml:space="preserve">2021, with the completion of the </w:t>
      </w:r>
      <w:r w:rsidR="00290F46">
        <w:t xml:space="preserve">final Phase II Report of the 2020 SOMAH </w:t>
      </w:r>
      <w:r w:rsidR="004A33C5">
        <w:t>p</w:t>
      </w:r>
      <w:r w:rsidR="00290F46">
        <w:t>rogram evaluation</w:t>
      </w:r>
      <w:r w:rsidR="003916D4">
        <w:t xml:space="preserve">, </w:t>
      </w:r>
      <w:r w:rsidR="00323276">
        <w:t xml:space="preserve">and therefore the petition could not have been filed within one year after the </w:t>
      </w:r>
      <w:r w:rsidR="007A2F15">
        <w:t>effective date of D.17-12-022</w:t>
      </w:r>
      <w:r w:rsidR="00290F46">
        <w:t xml:space="preserve">. </w:t>
      </w:r>
      <w:r w:rsidR="00A134AB">
        <w:t>Although the petition does not propose specific wording to carry out all requested modifications to D.17-12-022</w:t>
      </w:r>
      <w:r w:rsidR="004A1C1E">
        <w:t xml:space="preserve"> </w:t>
      </w:r>
      <w:r w:rsidR="00875E14">
        <w:t>as required by</w:t>
      </w:r>
      <w:r w:rsidR="006A3872">
        <w:t xml:space="preserve"> Rule</w:t>
      </w:r>
      <w:r w:rsidR="00020E27">
        <w:t> </w:t>
      </w:r>
      <w:r w:rsidR="006A3872">
        <w:t>16.4(d)</w:t>
      </w:r>
      <w:r w:rsidR="006737F4">
        <w:t>,</w:t>
      </w:r>
      <w:r w:rsidR="006A3872">
        <w:t xml:space="preserve"> </w:t>
      </w:r>
      <w:r w:rsidR="003E54A4">
        <w:t xml:space="preserve">the </w:t>
      </w:r>
      <w:r w:rsidR="00CA6F13">
        <w:t>specific</w:t>
      </w:r>
      <w:r w:rsidR="00092972">
        <w:t xml:space="preserve"> requests </w:t>
      </w:r>
      <w:r w:rsidR="004E6C84">
        <w:t>are more accurately considered as program modifications</w:t>
      </w:r>
      <w:r w:rsidR="000B421A">
        <w:t xml:space="preserve">, and </w:t>
      </w:r>
      <w:r w:rsidR="00A03506">
        <w:t xml:space="preserve">– noting additionally that D.17-12-022 </w:t>
      </w:r>
      <w:r w:rsidR="00345F11">
        <w:t>provides that the Commission would periodically evaluate incentive levels</w:t>
      </w:r>
      <w:r w:rsidR="00955645">
        <w:t xml:space="preserve"> and may adjust them based on relevant market factors -- </w:t>
      </w:r>
      <w:r w:rsidR="006737F4">
        <w:t xml:space="preserve">the Commission exercises </w:t>
      </w:r>
      <w:r w:rsidR="008B1C42">
        <w:t xml:space="preserve">its discretion to </w:t>
      </w:r>
      <w:r w:rsidR="00227576">
        <w:t>consider whether to grant the requested relief.</w:t>
      </w:r>
      <w:r w:rsidR="00955645">
        <w:rPr>
          <w:rStyle w:val="FootnoteReference"/>
        </w:rPr>
        <w:footnoteReference w:id="12"/>
      </w:r>
    </w:p>
    <w:p w:rsidR="005A148C" w:rsidP="00834C05" w:rsidRDefault="00D41842" w14:paraId="780D10FD" w14:textId="0C7F6D07">
      <w:pPr>
        <w:pStyle w:val="Heading1"/>
        <w:numPr>
          <w:ilvl w:val="0"/>
          <w:numId w:val="1"/>
        </w:numPr>
      </w:pPr>
      <w:bookmarkStart w:name="_Toc125572405" w:id="6"/>
      <w:r>
        <w:t xml:space="preserve">Increased </w:t>
      </w:r>
      <w:r w:rsidR="00020E27">
        <w:t>I</w:t>
      </w:r>
      <w:r>
        <w:t xml:space="preserve">ncentive </w:t>
      </w:r>
      <w:r w:rsidR="00020E27">
        <w:t>L</w:t>
      </w:r>
      <w:r>
        <w:t xml:space="preserve">evels </w:t>
      </w:r>
      <w:r w:rsidR="00B932C2">
        <w:t>in</w:t>
      </w:r>
      <w:r w:rsidR="00020E27">
        <w:br/>
        <w:t>L</w:t>
      </w:r>
      <w:r w:rsidR="00B932C2">
        <w:t>ight of</w:t>
      </w:r>
      <w:r w:rsidR="00020E27">
        <w:t xml:space="preserve"> S</w:t>
      </w:r>
      <w:r w:rsidR="00660510">
        <w:t xml:space="preserve">talled </w:t>
      </w:r>
      <w:r w:rsidR="00020E27">
        <w:t>P</w:t>
      </w:r>
      <w:r w:rsidR="00660510">
        <w:t xml:space="preserve">articipation </w:t>
      </w:r>
      <w:r w:rsidR="00D0787F">
        <w:t>and</w:t>
      </w:r>
      <w:r w:rsidR="00020E27">
        <w:br/>
        <w:t>R</w:t>
      </w:r>
      <w:r w:rsidR="00D0787F">
        <w:t xml:space="preserve">ecent </w:t>
      </w:r>
      <w:r w:rsidR="00020E27">
        <w:t>P</w:t>
      </w:r>
      <w:r w:rsidR="00D0787F">
        <w:t xml:space="preserve">roject </w:t>
      </w:r>
      <w:r w:rsidR="00020E27">
        <w:t>C</w:t>
      </w:r>
      <w:r w:rsidR="00D0787F">
        <w:t xml:space="preserve">ost </w:t>
      </w:r>
      <w:r w:rsidR="00020E27">
        <w:t>D</w:t>
      </w:r>
      <w:r w:rsidR="00D0787F">
        <w:t>ata</w:t>
      </w:r>
      <w:bookmarkEnd w:id="6"/>
    </w:p>
    <w:p w:rsidR="005939A5" w:rsidP="002A6FF2" w:rsidRDefault="00AD32E7" w14:paraId="2851A6B5" w14:textId="6008A953">
      <w:pPr>
        <w:pStyle w:val="Standard"/>
        <w:spacing w:after="120"/>
      </w:pPr>
      <w:r>
        <w:t>This decision modifies SOMAH incentive levels as</w:t>
      </w:r>
      <w:r w:rsidR="003452E6">
        <w:t xml:space="preserve"> recommended by </w:t>
      </w:r>
      <w:r w:rsidR="009A2AFA">
        <w:t xml:space="preserve">the petition, </w:t>
      </w:r>
      <w:r w:rsidR="009F2517">
        <w:t xml:space="preserve">but </w:t>
      </w:r>
      <w:r w:rsidR="0083260E">
        <w:t>without</w:t>
      </w:r>
      <w:r w:rsidR="009A2AFA">
        <w:t xml:space="preserve"> distinguishing </w:t>
      </w:r>
      <w:r w:rsidR="00A27B80">
        <w:t>whether a project is located in a</w:t>
      </w:r>
      <w:r w:rsidR="009A2AFA">
        <w:t xml:space="preserve"> disadvantaged communit</w:t>
      </w:r>
      <w:r w:rsidR="00A27B80">
        <w:t>y</w:t>
      </w:r>
      <w:r w:rsidR="00A82590">
        <w:t>, as</w:t>
      </w:r>
      <w:r>
        <w:t xml:space="preserve"> follows:</w:t>
      </w:r>
    </w:p>
    <w:tbl>
      <w:tblPr>
        <w:tblStyle w:val="TableGrid"/>
        <w:tblW w:w="0" w:type="auto"/>
        <w:jc w:val="center"/>
        <w:tblLook w:val="04A0" w:firstRow="1" w:lastRow="0" w:firstColumn="1" w:lastColumn="0" w:noHBand="0" w:noVBand="1"/>
      </w:tblPr>
      <w:tblGrid>
        <w:gridCol w:w="1265"/>
        <w:gridCol w:w="1180"/>
        <w:gridCol w:w="1420"/>
        <w:gridCol w:w="1630"/>
      </w:tblGrid>
      <w:tr w:rsidRPr="00B36D7B" w:rsidR="00C676D5" w:rsidTr="004A2DD6" w14:paraId="34268C8A" w14:textId="77777777">
        <w:trPr>
          <w:cantSplit/>
          <w:tblHeader/>
          <w:jc w:val="center"/>
        </w:trPr>
        <w:tc>
          <w:tcPr>
            <w:tcW w:w="2445" w:type="dxa"/>
            <w:gridSpan w:val="2"/>
            <w:tcMar>
              <w:top w:w="58" w:type="dxa"/>
              <w:left w:w="115" w:type="dxa"/>
              <w:bottom w:w="58" w:type="dxa"/>
              <w:right w:w="115" w:type="dxa"/>
            </w:tcMar>
            <w:vAlign w:val="center"/>
          </w:tcPr>
          <w:p w:rsidRPr="00B36D7B" w:rsidR="00C676D5" w:rsidP="00C679AF" w:rsidRDefault="00C676D5" w14:paraId="629E5890" w14:textId="4DFA5A70">
            <w:pPr>
              <w:pStyle w:val="Standard"/>
              <w:keepLines/>
              <w:spacing w:line="240" w:lineRule="auto"/>
              <w:ind w:firstLine="0"/>
              <w:jc w:val="center"/>
              <w:rPr>
                <w:b/>
                <w:bCs/>
              </w:rPr>
            </w:pPr>
            <w:r w:rsidRPr="00B36D7B">
              <w:rPr>
                <w:b/>
                <w:bCs/>
              </w:rPr>
              <w:t>Tax Credits</w:t>
            </w:r>
          </w:p>
        </w:tc>
        <w:tc>
          <w:tcPr>
            <w:tcW w:w="3050" w:type="dxa"/>
            <w:gridSpan w:val="2"/>
            <w:tcMar>
              <w:top w:w="58" w:type="dxa"/>
              <w:left w:w="58" w:type="dxa"/>
              <w:bottom w:w="58" w:type="dxa"/>
              <w:right w:w="58" w:type="dxa"/>
            </w:tcMar>
            <w:vAlign w:val="center"/>
          </w:tcPr>
          <w:p w:rsidRPr="00B36D7B" w:rsidR="00C676D5" w:rsidP="00C679AF" w:rsidRDefault="00C676D5" w14:paraId="15247EF0" w14:textId="7AD14613">
            <w:pPr>
              <w:pStyle w:val="Standard"/>
              <w:keepLines/>
              <w:spacing w:line="240" w:lineRule="auto"/>
              <w:ind w:firstLine="0"/>
              <w:jc w:val="center"/>
              <w:rPr>
                <w:b/>
                <w:bCs/>
              </w:rPr>
            </w:pPr>
            <w:r w:rsidRPr="00B36D7B">
              <w:rPr>
                <w:b/>
                <w:bCs/>
              </w:rPr>
              <w:t>$ per AC Watt Incentive</w:t>
            </w:r>
          </w:p>
        </w:tc>
      </w:tr>
      <w:tr w:rsidRPr="00B36D7B" w:rsidR="00593021" w:rsidTr="004A2DD6" w14:paraId="51D45396" w14:textId="77777777">
        <w:trPr>
          <w:cantSplit/>
          <w:tblHeader/>
          <w:jc w:val="center"/>
        </w:trPr>
        <w:tc>
          <w:tcPr>
            <w:tcW w:w="1265" w:type="dxa"/>
            <w:tcMar>
              <w:top w:w="58" w:type="dxa"/>
              <w:left w:w="115" w:type="dxa"/>
              <w:bottom w:w="58" w:type="dxa"/>
              <w:right w:w="115" w:type="dxa"/>
            </w:tcMar>
            <w:vAlign w:val="center"/>
          </w:tcPr>
          <w:p w:rsidRPr="00B36D7B" w:rsidR="00593021" w:rsidP="00C679AF" w:rsidRDefault="006634E1" w14:paraId="45EA4B52" w14:textId="06DA2E0F">
            <w:pPr>
              <w:pStyle w:val="Standard"/>
              <w:keepLines/>
              <w:spacing w:line="240" w:lineRule="auto"/>
              <w:ind w:firstLine="0"/>
              <w:jc w:val="center"/>
              <w:rPr>
                <w:b/>
                <w:bCs/>
              </w:rPr>
            </w:pPr>
            <w:r w:rsidRPr="00B36D7B">
              <w:rPr>
                <w:b/>
                <w:bCs/>
              </w:rPr>
              <w:t>ITC</w:t>
            </w:r>
          </w:p>
        </w:tc>
        <w:tc>
          <w:tcPr>
            <w:tcW w:w="1180" w:type="dxa"/>
            <w:tcMar>
              <w:top w:w="58" w:type="dxa"/>
              <w:left w:w="115" w:type="dxa"/>
              <w:bottom w:w="58" w:type="dxa"/>
              <w:right w:w="115" w:type="dxa"/>
            </w:tcMar>
            <w:vAlign w:val="center"/>
          </w:tcPr>
          <w:p w:rsidRPr="00B36D7B" w:rsidR="00593021" w:rsidP="00C679AF" w:rsidRDefault="006634E1" w14:paraId="485863AD" w14:textId="693A2700">
            <w:pPr>
              <w:pStyle w:val="Standard"/>
              <w:keepLines/>
              <w:spacing w:line="240" w:lineRule="auto"/>
              <w:ind w:firstLine="0"/>
              <w:jc w:val="center"/>
              <w:rPr>
                <w:b/>
                <w:bCs/>
              </w:rPr>
            </w:pPr>
            <w:r w:rsidRPr="00B36D7B">
              <w:rPr>
                <w:b/>
                <w:bCs/>
              </w:rPr>
              <w:t>LIHTC</w:t>
            </w:r>
          </w:p>
        </w:tc>
        <w:tc>
          <w:tcPr>
            <w:tcW w:w="1420" w:type="dxa"/>
            <w:tcMar>
              <w:top w:w="58" w:type="dxa"/>
              <w:left w:w="115" w:type="dxa"/>
              <w:bottom w:w="58" w:type="dxa"/>
              <w:right w:w="115" w:type="dxa"/>
            </w:tcMar>
            <w:vAlign w:val="center"/>
          </w:tcPr>
          <w:p w:rsidRPr="00B36D7B" w:rsidR="00593021" w:rsidP="00C679AF" w:rsidRDefault="006634E1" w14:paraId="01F4CA5B" w14:textId="50C6E9DA">
            <w:pPr>
              <w:pStyle w:val="Standard"/>
              <w:keepLines/>
              <w:spacing w:line="240" w:lineRule="auto"/>
              <w:ind w:firstLine="0"/>
              <w:jc w:val="center"/>
              <w:rPr>
                <w:b/>
                <w:bCs/>
              </w:rPr>
            </w:pPr>
            <w:r w:rsidRPr="00B36D7B">
              <w:rPr>
                <w:b/>
                <w:bCs/>
              </w:rPr>
              <w:t>Tenant</w:t>
            </w:r>
          </w:p>
        </w:tc>
        <w:tc>
          <w:tcPr>
            <w:tcW w:w="1630" w:type="dxa"/>
            <w:tcMar>
              <w:top w:w="58" w:type="dxa"/>
              <w:left w:w="115" w:type="dxa"/>
              <w:bottom w:w="58" w:type="dxa"/>
              <w:right w:w="115" w:type="dxa"/>
            </w:tcMar>
            <w:vAlign w:val="center"/>
          </w:tcPr>
          <w:p w:rsidRPr="00B36D7B" w:rsidR="00593021" w:rsidP="00C679AF" w:rsidRDefault="000E714B" w14:paraId="2703A4C1" w14:textId="60373CEE">
            <w:pPr>
              <w:pStyle w:val="Standard"/>
              <w:keepLines/>
              <w:spacing w:line="240" w:lineRule="auto"/>
              <w:ind w:firstLine="0"/>
              <w:jc w:val="center"/>
              <w:rPr>
                <w:b/>
                <w:bCs/>
              </w:rPr>
            </w:pPr>
            <w:r w:rsidRPr="00B36D7B">
              <w:rPr>
                <w:b/>
                <w:bCs/>
              </w:rPr>
              <w:t>C</w:t>
            </w:r>
            <w:r w:rsidRPr="00B36D7B" w:rsidR="002048D3">
              <w:rPr>
                <w:b/>
                <w:bCs/>
              </w:rPr>
              <w:t>ommon Area</w:t>
            </w:r>
          </w:p>
        </w:tc>
      </w:tr>
      <w:tr w:rsidR="006634E1" w:rsidTr="004A2DD6" w14:paraId="4427C05D" w14:textId="77777777">
        <w:trPr>
          <w:cantSplit/>
          <w:jc w:val="center"/>
        </w:trPr>
        <w:tc>
          <w:tcPr>
            <w:tcW w:w="1265" w:type="dxa"/>
            <w:tcMar>
              <w:top w:w="58" w:type="dxa"/>
              <w:left w:w="115" w:type="dxa"/>
              <w:bottom w:w="58" w:type="dxa"/>
              <w:right w:w="115" w:type="dxa"/>
            </w:tcMar>
            <w:vAlign w:val="center"/>
          </w:tcPr>
          <w:p w:rsidR="006634E1" w:rsidP="00C679AF" w:rsidRDefault="00C676D5" w14:paraId="75F4DF1B" w14:textId="68752BD2">
            <w:pPr>
              <w:pStyle w:val="Standard"/>
              <w:keepLines/>
              <w:spacing w:line="240" w:lineRule="auto"/>
              <w:ind w:firstLine="0"/>
              <w:jc w:val="center"/>
            </w:pPr>
            <w:r>
              <w:t>No</w:t>
            </w:r>
          </w:p>
        </w:tc>
        <w:tc>
          <w:tcPr>
            <w:tcW w:w="1180" w:type="dxa"/>
            <w:tcMar>
              <w:top w:w="58" w:type="dxa"/>
              <w:left w:w="115" w:type="dxa"/>
              <w:bottom w:w="58" w:type="dxa"/>
              <w:right w:w="115" w:type="dxa"/>
            </w:tcMar>
            <w:vAlign w:val="center"/>
          </w:tcPr>
          <w:p w:rsidR="006634E1" w:rsidP="00C679AF" w:rsidRDefault="00C676D5" w14:paraId="4E1FF456" w14:textId="2B885594">
            <w:pPr>
              <w:pStyle w:val="Standard"/>
              <w:keepLines/>
              <w:spacing w:line="240" w:lineRule="auto"/>
              <w:ind w:firstLine="0"/>
              <w:jc w:val="center"/>
            </w:pPr>
            <w:r>
              <w:t>No</w:t>
            </w:r>
          </w:p>
        </w:tc>
        <w:tc>
          <w:tcPr>
            <w:tcW w:w="1420" w:type="dxa"/>
            <w:tcMar>
              <w:top w:w="58" w:type="dxa"/>
              <w:left w:w="115" w:type="dxa"/>
              <w:bottom w:w="58" w:type="dxa"/>
              <w:right w:w="115" w:type="dxa"/>
            </w:tcMar>
            <w:vAlign w:val="center"/>
          </w:tcPr>
          <w:p w:rsidR="006634E1" w:rsidP="00020E27" w:rsidRDefault="00C676D5" w14:paraId="3AED65E1" w14:textId="6E5A2ABA">
            <w:pPr>
              <w:pStyle w:val="Standard"/>
              <w:keepLines/>
              <w:spacing w:line="240" w:lineRule="auto"/>
              <w:ind w:firstLine="0"/>
              <w:jc w:val="right"/>
            </w:pPr>
            <w:r>
              <w:t>$3.50</w:t>
            </w:r>
          </w:p>
        </w:tc>
        <w:tc>
          <w:tcPr>
            <w:tcW w:w="1630" w:type="dxa"/>
            <w:tcMar>
              <w:top w:w="58" w:type="dxa"/>
              <w:left w:w="115" w:type="dxa"/>
              <w:bottom w:w="58" w:type="dxa"/>
              <w:right w:w="115" w:type="dxa"/>
            </w:tcMar>
            <w:vAlign w:val="center"/>
          </w:tcPr>
          <w:p w:rsidR="006634E1" w:rsidP="00020E27" w:rsidRDefault="000240AB" w14:paraId="406A2C06" w14:textId="1B78D55F">
            <w:pPr>
              <w:pStyle w:val="Standard"/>
              <w:keepLines/>
              <w:spacing w:line="240" w:lineRule="auto"/>
              <w:ind w:firstLine="0"/>
              <w:jc w:val="right"/>
            </w:pPr>
            <w:r>
              <w:t>$1.19</w:t>
            </w:r>
          </w:p>
        </w:tc>
      </w:tr>
      <w:tr w:rsidR="006634E1" w:rsidTr="004A2DD6" w14:paraId="61EB6EB0" w14:textId="77777777">
        <w:trPr>
          <w:cantSplit/>
          <w:jc w:val="center"/>
        </w:trPr>
        <w:tc>
          <w:tcPr>
            <w:tcW w:w="1265" w:type="dxa"/>
            <w:tcMar>
              <w:top w:w="58" w:type="dxa"/>
              <w:left w:w="115" w:type="dxa"/>
              <w:bottom w:w="58" w:type="dxa"/>
              <w:right w:w="115" w:type="dxa"/>
            </w:tcMar>
            <w:vAlign w:val="center"/>
          </w:tcPr>
          <w:p w:rsidR="006634E1" w:rsidP="00C679AF" w:rsidRDefault="00C676D5" w14:paraId="1BC9DA36" w14:textId="20644C37">
            <w:pPr>
              <w:pStyle w:val="Standard"/>
              <w:keepLines/>
              <w:spacing w:line="240" w:lineRule="auto"/>
              <w:ind w:firstLine="0"/>
              <w:jc w:val="center"/>
            </w:pPr>
            <w:r>
              <w:t>Yes</w:t>
            </w:r>
          </w:p>
        </w:tc>
        <w:tc>
          <w:tcPr>
            <w:tcW w:w="1180" w:type="dxa"/>
            <w:tcMar>
              <w:top w:w="58" w:type="dxa"/>
              <w:left w:w="115" w:type="dxa"/>
              <w:bottom w:w="58" w:type="dxa"/>
              <w:right w:w="115" w:type="dxa"/>
            </w:tcMar>
            <w:vAlign w:val="center"/>
          </w:tcPr>
          <w:p w:rsidR="006634E1" w:rsidP="00C679AF" w:rsidRDefault="00C676D5" w14:paraId="29C4FDB2" w14:textId="41777855">
            <w:pPr>
              <w:pStyle w:val="Standard"/>
              <w:keepLines/>
              <w:spacing w:line="240" w:lineRule="auto"/>
              <w:ind w:firstLine="0"/>
              <w:jc w:val="center"/>
            </w:pPr>
            <w:r>
              <w:t>No</w:t>
            </w:r>
          </w:p>
        </w:tc>
        <w:tc>
          <w:tcPr>
            <w:tcW w:w="1420" w:type="dxa"/>
            <w:tcMar>
              <w:top w:w="58" w:type="dxa"/>
              <w:left w:w="115" w:type="dxa"/>
              <w:bottom w:w="58" w:type="dxa"/>
              <w:right w:w="115" w:type="dxa"/>
            </w:tcMar>
            <w:vAlign w:val="center"/>
          </w:tcPr>
          <w:p w:rsidR="006634E1" w:rsidP="00020E27" w:rsidRDefault="000240AB" w14:paraId="0545525C" w14:textId="4C1B1B96">
            <w:pPr>
              <w:pStyle w:val="Standard"/>
              <w:keepLines/>
              <w:spacing w:line="240" w:lineRule="auto"/>
              <w:ind w:firstLine="0"/>
              <w:jc w:val="right"/>
            </w:pPr>
            <w:r>
              <w:t>$2.45</w:t>
            </w:r>
          </w:p>
        </w:tc>
        <w:tc>
          <w:tcPr>
            <w:tcW w:w="1630" w:type="dxa"/>
            <w:tcMar>
              <w:top w:w="58" w:type="dxa"/>
              <w:left w:w="115" w:type="dxa"/>
              <w:bottom w:w="58" w:type="dxa"/>
              <w:right w:w="115" w:type="dxa"/>
            </w:tcMar>
            <w:vAlign w:val="center"/>
          </w:tcPr>
          <w:p w:rsidR="006634E1" w:rsidP="00020E27" w:rsidRDefault="000240AB" w14:paraId="4F754BD8" w14:textId="220C5D97">
            <w:pPr>
              <w:pStyle w:val="Standard"/>
              <w:keepLines/>
              <w:spacing w:line="240" w:lineRule="auto"/>
              <w:ind w:firstLine="0"/>
              <w:jc w:val="right"/>
            </w:pPr>
            <w:r>
              <w:t>$0.87</w:t>
            </w:r>
          </w:p>
        </w:tc>
      </w:tr>
      <w:tr w:rsidR="006634E1" w:rsidTr="004A2DD6" w14:paraId="63D6A393" w14:textId="77777777">
        <w:trPr>
          <w:cantSplit/>
          <w:jc w:val="center"/>
        </w:trPr>
        <w:tc>
          <w:tcPr>
            <w:tcW w:w="1265" w:type="dxa"/>
            <w:tcMar>
              <w:top w:w="58" w:type="dxa"/>
              <w:left w:w="115" w:type="dxa"/>
              <w:bottom w:w="58" w:type="dxa"/>
              <w:right w:w="115" w:type="dxa"/>
            </w:tcMar>
            <w:vAlign w:val="center"/>
          </w:tcPr>
          <w:p w:rsidR="006634E1" w:rsidP="00C679AF" w:rsidRDefault="00C676D5" w14:paraId="10B95EE7" w14:textId="62C0F324">
            <w:pPr>
              <w:pStyle w:val="Standard"/>
              <w:keepLines/>
              <w:spacing w:line="240" w:lineRule="auto"/>
              <w:ind w:firstLine="0"/>
              <w:jc w:val="center"/>
            </w:pPr>
            <w:r>
              <w:t>No</w:t>
            </w:r>
          </w:p>
        </w:tc>
        <w:tc>
          <w:tcPr>
            <w:tcW w:w="1180" w:type="dxa"/>
            <w:tcMar>
              <w:top w:w="58" w:type="dxa"/>
              <w:left w:w="115" w:type="dxa"/>
              <w:bottom w:w="58" w:type="dxa"/>
              <w:right w:w="115" w:type="dxa"/>
            </w:tcMar>
            <w:vAlign w:val="center"/>
          </w:tcPr>
          <w:p w:rsidR="006634E1" w:rsidP="00C679AF" w:rsidRDefault="00C676D5" w14:paraId="327A8D33" w14:textId="60666EF3">
            <w:pPr>
              <w:pStyle w:val="Standard"/>
              <w:keepLines/>
              <w:spacing w:line="240" w:lineRule="auto"/>
              <w:ind w:firstLine="0"/>
              <w:jc w:val="center"/>
            </w:pPr>
            <w:r>
              <w:t>Yes</w:t>
            </w:r>
          </w:p>
        </w:tc>
        <w:tc>
          <w:tcPr>
            <w:tcW w:w="1420" w:type="dxa"/>
            <w:tcMar>
              <w:top w:w="58" w:type="dxa"/>
              <w:left w:w="115" w:type="dxa"/>
              <w:bottom w:w="58" w:type="dxa"/>
              <w:right w:w="115" w:type="dxa"/>
            </w:tcMar>
            <w:vAlign w:val="center"/>
          </w:tcPr>
          <w:p w:rsidR="006634E1" w:rsidP="00020E27" w:rsidRDefault="000240AB" w14:paraId="2287A9BB" w14:textId="623CDE2A">
            <w:pPr>
              <w:pStyle w:val="Standard"/>
              <w:keepLines/>
              <w:spacing w:line="240" w:lineRule="auto"/>
              <w:ind w:firstLine="0"/>
              <w:jc w:val="right"/>
            </w:pPr>
            <w:r>
              <w:t>$2.45</w:t>
            </w:r>
          </w:p>
        </w:tc>
        <w:tc>
          <w:tcPr>
            <w:tcW w:w="1630" w:type="dxa"/>
            <w:tcMar>
              <w:top w:w="58" w:type="dxa"/>
              <w:left w:w="115" w:type="dxa"/>
              <w:bottom w:w="58" w:type="dxa"/>
              <w:right w:w="115" w:type="dxa"/>
            </w:tcMar>
            <w:vAlign w:val="center"/>
          </w:tcPr>
          <w:p w:rsidR="006634E1" w:rsidP="00020E27" w:rsidRDefault="000240AB" w14:paraId="49873A5B" w14:textId="0EEBE954">
            <w:pPr>
              <w:pStyle w:val="Standard"/>
              <w:keepLines/>
              <w:spacing w:line="240" w:lineRule="auto"/>
              <w:ind w:firstLine="0"/>
              <w:jc w:val="right"/>
            </w:pPr>
            <w:r>
              <w:t>$0.87</w:t>
            </w:r>
          </w:p>
        </w:tc>
      </w:tr>
      <w:tr w:rsidR="00C676D5" w:rsidTr="004A2DD6" w14:paraId="2B9C66DE" w14:textId="77777777">
        <w:trPr>
          <w:cantSplit/>
          <w:jc w:val="center"/>
        </w:trPr>
        <w:tc>
          <w:tcPr>
            <w:tcW w:w="1265" w:type="dxa"/>
            <w:tcMar>
              <w:top w:w="58" w:type="dxa"/>
              <w:left w:w="115" w:type="dxa"/>
              <w:bottom w:w="58" w:type="dxa"/>
              <w:right w:w="115" w:type="dxa"/>
            </w:tcMar>
            <w:vAlign w:val="center"/>
          </w:tcPr>
          <w:p w:rsidR="00C676D5" w:rsidP="00C679AF" w:rsidRDefault="00C676D5" w14:paraId="13DAEB9F" w14:textId="324EBE25">
            <w:pPr>
              <w:pStyle w:val="Standard"/>
              <w:keepLines/>
              <w:spacing w:line="240" w:lineRule="auto"/>
              <w:ind w:firstLine="0"/>
              <w:jc w:val="center"/>
            </w:pPr>
            <w:r>
              <w:t>Yes</w:t>
            </w:r>
          </w:p>
        </w:tc>
        <w:tc>
          <w:tcPr>
            <w:tcW w:w="1180" w:type="dxa"/>
            <w:tcMar>
              <w:top w:w="58" w:type="dxa"/>
              <w:left w:w="115" w:type="dxa"/>
              <w:bottom w:w="58" w:type="dxa"/>
              <w:right w:w="115" w:type="dxa"/>
            </w:tcMar>
            <w:vAlign w:val="center"/>
          </w:tcPr>
          <w:p w:rsidR="00C676D5" w:rsidP="00C679AF" w:rsidRDefault="00C676D5" w14:paraId="508DEDA8" w14:textId="66D8B07F">
            <w:pPr>
              <w:pStyle w:val="Standard"/>
              <w:keepLines/>
              <w:spacing w:line="240" w:lineRule="auto"/>
              <w:ind w:firstLine="0"/>
              <w:jc w:val="center"/>
            </w:pPr>
            <w:r>
              <w:t>Yes</w:t>
            </w:r>
          </w:p>
        </w:tc>
        <w:tc>
          <w:tcPr>
            <w:tcW w:w="1420" w:type="dxa"/>
            <w:tcMar>
              <w:top w:w="58" w:type="dxa"/>
              <w:left w:w="115" w:type="dxa"/>
              <w:bottom w:w="58" w:type="dxa"/>
              <w:right w:w="115" w:type="dxa"/>
            </w:tcMar>
            <w:vAlign w:val="center"/>
          </w:tcPr>
          <w:p w:rsidR="00C676D5" w:rsidP="00020E27" w:rsidRDefault="000240AB" w14:paraId="6FE31707" w14:textId="3E61B99D">
            <w:pPr>
              <w:pStyle w:val="Standard"/>
              <w:keepLines/>
              <w:spacing w:line="240" w:lineRule="auto"/>
              <w:ind w:firstLine="0"/>
              <w:jc w:val="right"/>
            </w:pPr>
            <w:r>
              <w:t>$1.75</w:t>
            </w:r>
          </w:p>
        </w:tc>
        <w:tc>
          <w:tcPr>
            <w:tcW w:w="1630" w:type="dxa"/>
            <w:tcMar>
              <w:top w:w="58" w:type="dxa"/>
              <w:left w:w="115" w:type="dxa"/>
              <w:bottom w:w="58" w:type="dxa"/>
              <w:right w:w="115" w:type="dxa"/>
            </w:tcMar>
            <w:vAlign w:val="center"/>
          </w:tcPr>
          <w:p w:rsidR="00C676D5" w:rsidP="00020E27" w:rsidRDefault="000240AB" w14:paraId="75F74EF1" w14:textId="1F14CB51">
            <w:pPr>
              <w:pStyle w:val="Standard"/>
              <w:keepLines/>
              <w:spacing w:line="240" w:lineRule="auto"/>
              <w:ind w:firstLine="0"/>
              <w:jc w:val="right"/>
            </w:pPr>
            <w:r>
              <w:t>$0.65</w:t>
            </w:r>
          </w:p>
        </w:tc>
      </w:tr>
    </w:tbl>
    <w:p w:rsidR="00D0787F" w:rsidP="00D01C58" w:rsidRDefault="00036DF2" w14:paraId="0829B8ED" w14:textId="32AD0C61">
      <w:pPr>
        <w:pStyle w:val="Standard"/>
        <w:spacing w:before="240"/>
      </w:pPr>
      <w:r>
        <w:lastRenderedPageBreak/>
        <w:t xml:space="preserve">The revised incentives adopted by this decision are greater than those established by D.17-12-022, </w:t>
      </w:r>
      <w:r w:rsidR="00976A04">
        <w:t xml:space="preserve">in recognition that </w:t>
      </w:r>
      <w:r w:rsidR="000417AA">
        <w:t>program participation</w:t>
      </w:r>
      <w:r w:rsidR="00976A04">
        <w:t xml:space="preserve"> appears to have stalled</w:t>
      </w:r>
      <w:r w:rsidR="006C2383">
        <w:t>,</w:t>
      </w:r>
      <w:r w:rsidR="000C6AE1">
        <w:t xml:space="preserve"> and </w:t>
      </w:r>
      <w:r w:rsidR="006C2383">
        <w:t xml:space="preserve">further </w:t>
      </w:r>
      <w:r w:rsidR="000C6AE1">
        <w:t>that reported project costs have increased.</w:t>
      </w:r>
      <w:r w:rsidR="00683356">
        <w:t xml:space="preserve"> CSE </w:t>
      </w:r>
      <w:r w:rsidR="007629AA">
        <w:t>add</w:t>
      </w:r>
      <w:r w:rsidR="003E7546">
        <w:t>ressed</w:t>
      </w:r>
      <w:r w:rsidR="004E5403">
        <w:t xml:space="preserve"> a significant drop-off in new applications</w:t>
      </w:r>
      <w:r w:rsidR="005A5B54">
        <w:t xml:space="preserve">, noting that in 2019 there were 319 new applications, in 2020 there were </w:t>
      </w:r>
      <w:r w:rsidR="00452CB9">
        <w:t>183 new applications, in 2021 there 150 new applications, and from January to June 2022 there were</w:t>
      </w:r>
      <w:r w:rsidR="005A5B54">
        <w:t xml:space="preserve"> </w:t>
      </w:r>
      <w:r w:rsidR="00452CB9">
        <w:t>7 new applications.</w:t>
      </w:r>
      <w:r w:rsidR="00452CB9">
        <w:rPr>
          <w:rStyle w:val="FootnoteReference"/>
        </w:rPr>
        <w:footnoteReference w:id="13"/>
      </w:r>
      <w:r w:rsidR="00452CB9">
        <w:t xml:space="preserve"> </w:t>
      </w:r>
      <w:r w:rsidR="00E65068">
        <w:t xml:space="preserve">In the face of increasing inflation, increasing project costs, and decreasing program applications, we find it reasonable to increase the SOMAH </w:t>
      </w:r>
      <w:r w:rsidR="00DA5666">
        <w:t>program</w:t>
      </w:r>
      <w:r w:rsidR="0010232B">
        <w:t>’s</w:t>
      </w:r>
      <w:r w:rsidR="00DA5666">
        <w:t xml:space="preserve"> </w:t>
      </w:r>
      <w:r w:rsidR="00E65068">
        <w:t>incentive</w:t>
      </w:r>
      <w:r w:rsidR="0010232B">
        <w:t xml:space="preserve"> level</w:t>
      </w:r>
      <w:r w:rsidR="00E65068">
        <w:t xml:space="preserve">s. We particularly note that the program is approximately one-fifth of the way towards its overall </w:t>
      </w:r>
      <w:r w:rsidR="0010232B">
        <w:t>megawatt (</w:t>
      </w:r>
      <w:r w:rsidR="00E65068">
        <w:t>MW</w:t>
      </w:r>
      <w:r w:rsidR="0010232B">
        <w:t>)</w:t>
      </w:r>
      <w:r w:rsidR="00E65068">
        <w:t xml:space="preserve"> goals (</w:t>
      </w:r>
      <w:r w:rsidR="00807597">
        <w:t>63.5</w:t>
      </w:r>
      <w:r w:rsidR="00203D72">
        <w:t xml:space="preserve"> </w:t>
      </w:r>
      <w:r w:rsidR="00E65068">
        <w:t>MW reserved/</w:t>
      </w:r>
      <w:r w:rsidR="00547AC7">
        <w:t>installed</w:t>
      </w:r>
      <w:r w:rsidR="0072494C">
        <w:t xml:space="preserve"> out of 300</w:t>
      </w:r>
      <w:r w:rsidR="00203D72">
        <w:t xml:space="preserve"> </w:t>
      </w:r>
      <w:r w:rsidR="0072494C">
        <w:t>MW</w:t>
      </w:r>
      <w:r w:rsidR="00547AC7">
        <w:t xml:space="preserve"> as of </w:t>
      </w:r>
      <w:r w:rsidR="002C31BE">
        <w:t>December 31, 2022</w:t>
      </w:r>
      <w:r w:rsidR="00547AC7">
        <w:t>)</w:t>
      </w:r>
      <w:r w:rsidR="0010232B">
        <w:t>.</w:t>
      </w:r>
      <w:r w:rsidR="00547AC7">
        <w:t xml:space="preserve"> </w:t>
      </w:r>
      <w:r w:rsidR="0010232B">
        <w:t>I</w:t>
      </w:r>
      <w:r w:rsidR="00547AC7">
        <w:t>n contrast</w:t>
      </w:r>
      <w:r w:rsidR="0010232B">
        <w:t>,</w:t>
      </w:r>
      <w:r w:rsidR="00547AC7">
        <w:t xml:space="preserve"> </w:t>
      </w:r>
      <w:r w:rsidR="0010232B">
        <w:t xml:space="preserve">the program </w:t>
      </w:r>
      <w:r w:rsidR="004A326F">
        <w:t>has</w:t>
      </w:r>
      <w:r w:rsidR="0010232B">
        <w:t xml:space="preserve"> </w:t>
      </w:r>
      <w:r w:rsidR="001E4A37">
        <w:t>more than 70</w:t>
      </w:r>
      <w:r w:rsidR="001A25B6">
        <w:t xml:space="preserve"> percent</w:t>
      </w:r>
      <w:r w:rsidR="001E4A37">
        <w:t xml:space="preserve"> of</w:t>
      </w:r>
      <w:r w:rsidR="00547AC7">
        <w:t xml:space="preserve"> </w:t>
      </w:r>
      <w:r w:rsidR="004A326F">
        <w:t xml:space="preserve">its </w:t>
      </w:r>
      <w:r w:rsidR="00540F4E">
        <w:t xml:space="preserve">incentive </w:t>
      </w:r>
      <w:r w:rsidR="00547AC7">
        <w:t>funds remaining</w:t>
      </w:r>
      <w:r w:rsidR="004A326F">
        <w:t>.</w:t>
      </w:r>
      <w:r w:rsidR="00547AC7">
        <w:t xml:space="preserve"> </w:t>
      </w:r>
      <w:r w:rsidR="00FC6F98">
        <w:t xml:space="preserve">Given this </w:t>
      </w:r>
      <w:r w:rsidR="00547AC7">
        <w:t xml:space="preserve">information </w:t>
      </w:r>
      <w:r w:rsidR="00FC6F98">
        <w:t>it is apparent</w:t>
      </w:r>
      <w:r w:rsidR="00547AC7">
        <w:t xml:space="preserve"> that we must re-stimulate participation in order to </w:t>
      </w:r>
      <w:r w:rsidR="003D5634">
        <w:t>achieve</w:t>
      </w:r>
      <w:r w:rsidR="00211F45">
        <w:t xml:space="preserve"> the</w:t>
      </w:r>
      <w:r w:rsidR="00547AC7">
        <w:t xml:space="preserve"> </w:t>
      </w:r>
      <w:r w:rsidR="00211F45">
        <w:t xml:space="preserve">program </w:t>
      </w:r>
      <w:r w:rsidR="00547AC7">
        <w:t>goals.</w:t>
      </w:r>
      <w:r w:rsidR="00E177DD">
        <w:rPr>
          <w:rStyle w:val="FootnoteReference"/>
        </w:rPr>
        <w:footnoteReference w:id="14"/>
      </w:r>
    </w:p>
    <w:p w:rsidR="00632014" w:rsidP="00D0787F" w:rsidRDefault="00917B6E" w14:paraId="7E724A8E" w14:textId="6B677B01">
      <w:pPr>
        <w:pStyle w:val="Standard"/>
      </w:pPr>
      <w:r w:rsidRPr="00EC7117">
        <w:t xml:space="preserve">This decision also </w:t>
      </w:r>
      <w:r w:rsidRPr="00EC7117" w:rsidR="00565B74">
        <w:t>permit</w:t>
      </w:r>
      <w:r w:rsidRPr="00EC7117" w:rsidR="00EF6BDA">
        <w:t>s</w:t>
      </w:r>
      <w:r w:rsidRPr="00EC7117" w:rsidR="00565B74">
        <w:t xml:space="preserve"> existing projects</w:t>
      </w:r>
      <w:r w:rsidRPr="00EC7117" w:rsidR="0071336B">
        <w:t xml:space="preserve"> </w:t>
      </w:r>
      <w:r w:rsidR="00965D07">
        <w:t>and their corresponding property owner</w:t>
      </w:r>
      <w:r w:rsidR="002127FD">
        <w:t>s</w:t>
      </w:r>
      <w:r w:rsidR="00965D07">
        <w:t xml:space="preserve"> </w:t>
      </w:r>
      <w:r w:rsidRPr="00EC7117" w:rsidR="0071336B">
        <w:t xml:space="preserve">to request the applicable incentive level adopted by this decision, </w:t>
      </w:r>
      <w:r w:rsidRPr="00EC7117" w:rsidR="00CF0EE1">
        <w:t xml:space="preserve">as specified in </w:t>
      </w:r>
      <w:r w:rsidRPr="00EC7117" w:rsidR="00017F65">
        <w:t xml:space="preserve">CALSSA’s </w:t>
      </w:r>
      <w:r w:rsidRPr="00EC7117" w:rsidR="00CF0EE1">
        <w:t>response. That is, a project that has already submitted a SOMAH application</w:t>
      </w:r>
      <w:r w:rsidR="006D352D">
        <w:t xml:space="preserve"> </w:t>
      </w:r>
      <w:r w:rsidR="00F30C9A">
        <w:t xml:space="preserve">(i.e., </w:t>
      </w:r>
      <w:r w:rsidR="006D352D">
        <w:t>prior to the issue date of this decision</w:t>
      </w:r>
      <w:r w:rsidR="00F30C9A">
        <w:t>)</w:t>
      </w:r>
      <w:r w:rsidRPr="00EC7117" w:rsidR="00CF0EE1">
        <w:t xml:space="preserve"> but has not yet </w:t>
      </w:r>
      <w:r w:rsidRPr="00EC7117" w:rsidR="004E3E9E">
        <w:t xml:space="preserve">submitted its </w:t>
      </w:r>
      <w:r w:rsidRPr="00EC7117" w:rsidR="001431A6">
        <w:t>I</w:t>
      </w:r>
      <w:r w:rsidRPr="00EC7117" w:rsidR="004E3E9E">
        <w:t xml:space="preserve">ncentive </w:t>
      </w:r>
      <w:r w:rsidRPr="00EC7117" w:rsidR="001431A6">
        <w:t>C</w:t>
      </w:r>
      <w:r w:rsidRPr="00EC7117" w:rsidR="004E3E9E">
        <w:t>laim</w:t>
      </w:r>
      <w:r w:rsidRPr="00EC7117" w:rsidR="001431A6">
        <w:t xml:space="preserve"> Milestone</w:t>
      </w:r>
      <w:r w:rsidRPr="00EC7117" w:rsidR="004E1C69">
        <w:t xml:space="preserve"> </w:t>
      </w:r>
      <w:r w:rsidR="00474E62">
        <w:t xml:space="preserve">documentation </w:t>
      </w:r>
      <w:r w:rsidRPr="00EC7117" w:rsidR="004E1C69">
        <w:t>may request the revised incentive level.</w:t>
      </w:r>
      <w:r w:rsidR="00456FA1">
        <w:t xml:space="preserve"> </w:t>
      </w:r>
      <w:r w:rsidR="00A62BDB">
        <w:t xml:space="preserve">This approach </w:t>
      </w:r>
      <w:r w:rsidR="006E29D3">
        <w:t xml:space="preserve">is reasonable in terms of </w:t>
      </w:r>
      <w:r w:rsidR="0006163A">
        <w:t xml:space="preserve">minimizing administrative </w:t>
      </w:r>
      <w:r w:rsidR="0099251E">
        <w:t xml:space="preserve">expense of both the SOMAH </w:t>
      </w:r>
      <w:r w:rsidR="008000C0">
        <w:t>P</w:t>
      </w:r>
      <w:r w:rsidR="0099251E">
        <w:t xml:space="preserve">rogram </w:t>
      </w:r>
      <w:r w:rsidR="008000C0">
        <w:t>A</w:t>
      </w:r>
      <w:r w:rsidR="0099251E">
        <w:t xml:space="preserve">dministrator and </w:t>
      </w:r>
      <w:r w:rsidR="00CD5BA5">
        <w:t>project applicants</w:t>
      </w:r>
      <w:r w:rsidR="00DD5F6D">
        <w:t>.</w:t>
      </w:r>
      <w:r w:rsidR="00AD1CE4">
        <w:t xml:space="preserve"> </w:t>
      </w:r>
      <w:r w:rsidRPr="00507523" w:rsidR="00AD1CE4">
        <w:t xml:space="preserve">However, </w:t>
      </w:r>
      <w:r w:rsidRPr="00507523" w:rsidR="00AC30D6">
        <w:t xml:space="preserve">we </w:t>
      </w:r>
      <w:r w:rsidR="00951428">
        <w:t xml:space="preserve">seek to ensure that </w:t>
      </w:r>
      <w:r w:rsidR="00756DFC">
        <w:t xml:space="preserve">this program change – which we make to ensure the success of the program in meeting its </w:t>
      </w:r>
      <w:r w:rsidR="00666DAD">
        <w:t>goals</w:t>
      </w:r>
      <w:r w:rsidR="00D42C3E">
        <w:t xml:space="preserve"> – </w:t>
      </w:r>
      <w:r w:rsidR="00666DAD">
        <w:t xml:space="preserve">will not result in </w:t>
      </w:r>
      <w:r w:rsidR="00E33739">
        <w:lastRenderedPageBreak/>
        <w:t>unnecessary financial windfalls for developers</w:t>
      </w:r>
      <w:r w:rsidR="00C84C03">
        <w:t>. For this reason</w:t>
      </w:r>
      <w:r w:rsidRPr="00507523" w:rsidR="00AD1CE4">
        <w:t xml:space="preserve">, </w:t>
      </w:r>
      <w:r w:rsidRPr="00507523" w:rsidR="00AC30D6">
        <w:t xml:space="preserve">we will add a safeguard to avoid projects receiving additional incentives unnecessarily. We share CSE’s concern that current applications can have cancellation risk from changes in project costs or economic viability, but after the Proof of Project Milestone this risk </w:t>
      </w:r>
      <w:r w:rsidR="00B117D9">
        <w:t>decreases</w:t>
      </w:r>
      <w:r w:rsidRPr="00507523" w:rsidR="00AC30D6">
        <w:t>, especially for third party-owned systems as the final agreements between the solar developer and property owner are in place (</w:t>
      </w:r>
      <w:r w:rsidRPr="00507523" w:rsidR="00326293">
        <w:t>following completion of</w:t>
      </w:r>
      <w:r w:rsidRPr="00507523" w:rsidR="00AC30D6">
        <w:t xml:space="preserve"> this milestone</w:t>
      </w:r>
      <w:r w:rsidRPr="00507523" w:rsidR="00F9273C">
        <w:t>).</w:t>
      </w:r>
      <w:r w:rsidRPr="00507523" w:rsidR="004C66CE">
        <w:t xml:space="preserve"> </w:t>
      </w:r>
      <w:r w:rsidRPr="00651392" w:rsidR="00B32B86">
        <w:t xml:space="preserve">The intent of </w:t>
      </w:r>
      <w:r w:rsidRPr="00651392" w:rsidR="00D72060">
        <w:t>th</w:t>
      </w:r>
      <w:r w:rsidRPr="00651392" w:rsidR="00E41C6D">
        <w:t>e increased incentive</w:t>
      </w:r>
      <w:r w:rsidRPr="00651392" w:rsidR="00886D19">
        <w:t xml:space="preserve">s </w:t>
      </w:r>
      <w:r w:rsidRPr="00651392" w:rsidR="00D845E6">
        <w:t xml:space="preserve">is to improve the economic viability of currently planned projects </w:t>
      </w:r>
      <w:r w:rsidRPr="00651392" w:rsidR="005208B0">
        <w:t>and thereby</w:t>
      </w:r>
      <w:r w:rsidRPr="00651392" w:rsidR="00D845E6">
        <w:t xml:space="preserve"> </w:t>
      </w:r>
      <w:r w:rsidRPr="00651392" w:rsidR="00F96D9D">
        <w:t>enable</w:t>
      </w:r>
      <w:r w:rsidRPr="00651392" w:rsidR="00D845E6">
        <w:t xml:space="preserve"> </w:t>
      </w:r>
      <w:r w:rsidRPr="00651392" w:rsidR="00DE578A">
        <w:t>properties</w:t>
      </w:r>
      <w:r w:rsidRPr="00651392" w:rsidR="004F0695">
        <w:t xml:space="preserve"> and their tenants </w:t>
      </w:r>
      <w:r w:rsidRPr="00651392" w:rsidR="00F96D9D">
        <w:t>to remain in</w:t>
      </w:r>
      <w:r w:rsidRPr="00651392" w:rsidR="00FB57E2">
        <w:t xml:space="preserve"> the pipeline.</w:t>
      </w:r>
      <w:r w:rsidRPr="00651392" w:rsidR="00EC175C">
        <w:t xml:space="preserve"> To that end, </w:t>
      </w:r>
      <w:r w:rsidR="006B2CF6">
        <w:t>w</w:t>
      </w:r>
      <w:r w:rsidR="00BE441F">
        <w:t xml:space="preserve">hile the revised incentive is available to current applicants, the request must come from the property owner. </w:t>
      </w:r>
      <w:r w:rsidR="006B2CF6">
        <w:t>W</w:t>
      </w:r>
      <w:r w:rsidRPr="00651392" w:rsidR="00A635C4">
        <w:t xml:space="preserve">e direct the SOMAH Program Administrator </w:t>
      </w:r>
      <w:r w:rsidRPr="00651392" w:rsidR="002F25C6">
        <w:t>to develop a process</w:t>
      </w:r>
      <w:r w:rsidR="000D72DE">
        <w:t xml:space="preserve"> with a clear request form</w:t>
      </w:r>
      <w:r w:rsidRPr="00651392" w:rsidR="002F25C6">
        <w:t xml:space="preserve">, in consultation with Energy Division staff, </w:t>
      </w:r>
      <w:r w:rsidRPr="00651392" w:rsidR="006606F0">
        <w:t>to verify this outcome</w:t>
      </w:r>
      <w:r w:rsidRPr="00651392" w:rsidR="00C54106">
        <w:t xml:space="preserve"> without undue delay to application processing.</w:t>
      </w:r>
      <w:r w:rsidRPr="00651392" w:rsidR="007159A1">
        <w:t xml:space="preserve"> </w:t>
      </w:r>
      <w:r w:rsidR="00A20CF9">
        <w:t xml:space="preserve">Options to consider may include requiring re-submittals of copies of revised executed contracts or ownership agreements (after the Proof of Project Milestone but before the Incentive Claim Milestone) and/or developing a notification and confirmation process for property owners. </w:t>
      </w:r>
      <w:r w:rsidR="00123625">
        <w:t xml:space="preserve">Details of this new process will be a part of the SOMAH program handbook update that the </w:t>
      </w:r>
      <w:r w:rsidR="005D6B19">
        <w:t xml:space="preserve">SOMAH </w:t>
      </w:r>
      <w:r w:rsidR="00123625">
        <w:t>Program Administrator will submit pursuant to this decision.</w:t>
      </w:r>
    </w:p>
    <w:p w:rsidR="00D0787F" w:rsidP="00D0787F" w:rsidRDefault="007159A1" w14:paraId="784FF927" w14:textId="44C96D48">
      <w:pPr>
        <w:pStyle w:val="Standard"/>
      </w:pPr>
      <w:r w:rsidRPr="00651392">
        <w:t xml:space="preserve">The SOMAH Program Administrator </w:t>
      </w:r>
      <w:r w:rsidRPr="00651392" w:rsidR="00F652D5">
        <w:t xml:space="preserve">must </w:t>
      </w:r>
      <w:r w:rsidRPr="00651392" w:rsidR="00046556">
        <w:t xml:space="preserve">track and </w:t>
      </w:r>
      <w:r w:rsidRPr="00651392" w:rsidR="00F652D5">
        <w:t xml:space="preserve">report on </w:t>
      </w:r>
      <w:r w:rsidRPr="00651392" w:rsidR="00B51FB3">
        <w:t>its</w:t>
      </w:r>
      <w:r w:rsidRPr="00651392" w:rsidR="00F652D5">
        <w:t xml:space="preserve"> efforts in future Semi-Annual Progress Report(s) until the transition of applications to the </w:t>
      </w:r>
      <w:r w:rsidRPr="00651392" w:rsidR="00F86DB8">
        <w:t xml:space="preserve">updated incentive levels adopted </w:t>
      </w:r>
      <w:r w:rsidRPr="00651392" w:rsidR="00115898">
        <w:t>in this decision is complete. These directives are consistent with D.17-12-022</w:t>
      </w:r>
      <w:r w:rsidRPr="00651392" w:rsidR="00D2670D">
        <w:t xml:space="preserve">, which tasked the SOMAH Program </w:t>
      </w:r>
      <w:r w:rsidRPr="00651392" w:rsidR="00D2670D">
        <w:lastRenderedPageBreak/>
        <w:t>Administrator with safeguarding program funds and protecting the overall integrity of the program.</w:t>
      </w:r>
      <w:r w:rsidRPr="00651392" w:rsidR="00D2670D">
        <w:rPr>
          <w:rStyle w:val="FootnoteReference"/>
        </w:rPr>
        <w:footnoteReference w:id="15"/>
      </w:r>
    </w:p>
    <w:p w:rsidR="000324ED" w:rsidP="00D0787F" w:rsidRDefault="000324ED" w14:paraId="3073FF0E" w14:textId="17B4A2F6">
      <w:pPr>
        <w:pStyle w:val="Standard"/>
      </w:pPr>
      <w:r>
        <w:t xml:space="preserve">The SOMAH </w:t>
      </w:r>
      <w:r w:rsidR="008000C0">
        <w:t>P</w:t>
      </w:r>
      <w:r>
        <w:t xml:space="preserve">rogram </w:t>
      </w:r>
      <w:r w:rsidR="008000C0">
        <w:t>A</w:t>
      </w:r>
      <w:r>
        <w:t xml:space="preserve">dministrator must submit a Tier </w:t>
      </w:r>
      <w:r w:rsidR="000C6AE1">
        <w:t>2</w:t>
      </w:r>
      <w:r>
        <w:t xml:space="preserve"> </w:t>
      </w:r>
      <w:r w:rsidR="00020E27">
        <w:t>A</w:t>
      </w:r>
      <w:r>
        <w:t xml:space="preserve">dvice </w:t>
      </w:r>
      <w:r w:rsidR="00020E27">
        <w:t>L</w:t>
      </w:r>
      <w:r>
        <w:t xml:space="preserve">etter </w:t>
      </w:r>
      <w:r w:rsidR="0059009A">
        <w:t>updating</w:t>
      </w:r>
      <w:r w:rsidR="000461B8">
        <w:t xml:space="preserve"> the</w:t>
      </w:r>
      <w:r w:rsidR="0059009A">
        <w:t xml:space="preserve"> </w:t>
      </w:r>
      <w:r w:rsidR="000461B8">
        <w:t xml:space="preserve">program’s implementation plan and handbook </w:t>
      </w:r>
      <w:r>
        <w:t xml:space="preserve">to implement the revised incentive levels </w:t>
      </w:r>
      <w:r w:rsidR="009F5DEA">
        <w:t xml:space="preserve">and verification process </w:t>
      </w:r>
      <w:r>
        <w:t xml:space="preserve">adopted in this decision, </w:t>
      </w:r>
      <w:r w:rsidR="00DA2166">
        <w:t xml:space="preserve">and further to reflect the extension of </w:t>
      </w:r>
      <w:r w:rsidR="0010726C">
        <w:t xml:space="preserve">income tax credits and </w:t>
      </w:r>
      <w:r w:rsidR="00390841">
        <w:t>other incentives provided by the Inflation Reduction Act.</w:t>
      </w:r>
    </w:p>
    <w:p w:rsidR="00137974" w:rsidP="00A44E8D" w:rsidRDefault="00547AC7" w14:paraId="2E0713D5" w14:textId="52F858F4">
      <w:pPr>
        <w:pStyle w:val="Standard"/>
      </w:pPr>
      <w:r>
        <w:t>While we are increasing the incentive for all projects at this time, we defer a decision on t</w:t>
      </w:r>
      <w:r w:rsidR="004E20B5">
        <w:t xml:space="preserve">he </w:t>
      </w:r>
      <w:r w:rsidR="00590672">
        <w:t xml:space="preserve">petition’s </w:t>
      </w:r>
      <w:r w:rsidR="004E20B5">
        <w:t>proposed</w:t>
      </w:r>
      <w:r w:rsidR="00734D74">
        <w:t xml:space="preserve"> higher incentive level for projects located in disadvantaged communities</w:t>
      </w:r>
      <w:r>
        <w:t>. We agree</w:t>
      </w:r>
      <w:r w:rsidR="00C666EC">
        <w:t xml:space="preserve"> with the petition’s intent to increase support for DAC participants</w:t>
      </w:r>
      <w:r>
        <w:t xml:space="preserve"> and benefits for DACs</w:t>
      </w:r>
      <w:r w:rsidR="00C666EC">
        <w:t>,</w:t>
      </w:r>
      <w:r w:rsidR="00734D74">
        <w:t xml:space="preserve"> </w:t>
      </w:r>
      <w:r w:rsidR="00C666EC">
        <w:t>and</w:t>
      </w:r>
      <w:r w:rsidR="007E778C">
        <w:t xml:space="preserve"> we </w:t>
      </w:r>
      <w:r w:rsidR="00175FFC">
        <w:t xml:space="preserve">intend to consider </w:t>
      </w:r>
      <w:r>
        <w:t xml:space="preserve">the proposed higher incentive for DACs </w:t>
      </w:r>
      <w:r w:rsidR="005956CA">
        <w:t xml:space="preserve">in conjunction </w:t>
      </w:r>
      <w:r>
        <w:t xml:space="preserve">with </w:t>
      </w:r>
      <w:r w:rsidR="006446B4">
        <w:t xml:space="preserve">a </w:t>
      </w:r>
      <w:r w:rsidR="006A1A5C">
        <w:t xml:space="preserve">broader </w:t>
      </w:r>
      <w:r w:rsidR="00644FFE">
        <w:t>set</w:t>
      </w:r>
      <w:r w:rsidR="00C87E29">
        <w:t xml:space="preserve"> of </w:t>
      </w:r>
      <w:r w:rsidR="006A1A5C">
        <w:t xml:space="preserve">programmatic changes </w:t>
      </w:r>
      <w:r>
        <w:t>to</w:t>
      </w:r>
      <w:r w:rsidR="007E0BC0">
        <w:t xml:space="preserve"> determine</w:t>
      </w:r>
      <w:r w:rsidR="00472737">
        <w:t xml:space="preserve"> how </w:t>
      </w:r>
      <w:r w:rsidR="00A239AB">
        <w:t xml:space="preserve">best </w:t>
      </w:r>
      <w:r w:rsidR="00472737">
        <w:t xml:space="preserve">to </w:t>
      </w:r>
      <w:r w:rsidR="00C2773C">
        <w:t>achieve</w:t>
      </w:r>
      <w:r w:rsidR="00783058">
        <w:t xml:space="preserve"> th</w:t>
      </w:r>
      <w:r w:rsidR="001C5091">
        <w:t>is</w:t>
      </w:r>
      <w:r w:rsidR="00540C97">
        <w:t xml:space="preserve"> objective</w:t>
      </w:r>
      <w:r w:rsidR="00153CF2">
        <w:t xml:space="preserve">. A </w:t>
      </w:r>
      <w:r w:rsidR="00C067E1">
        <w:t xml:space="preserve">forthcoming </w:t>
      </w:r>
      <w:r w:rsidR="00153CF2">
        <w:t xml:space="preserve">ruling will </w:t>
      </w:r>
      <w:r w:rsidR="00F6546E">
        <w:t>invit</w:t>
      </w:r>
      <w:r w:rsidR="00C067E1">
        <w:t>e</w:t>
      </w:r>
      <w:r w:rsidR="00F6546E">
        <w:t xml:space="preserve"> comment</w:t>
      </w:r>
      <w:r w:rsidR="00CC54F3">
        <w:t>s</w:t>
      </w:r>
      <w:r w:rsidR="00153CF2">
        <w:t xml:space="preserve"> on various program improvements, </w:t>
      </w:r>
      <w:proofErr w:type="gramStart"/>
      <w:r w:rsidR="00C3430E">
        <w:t xml:space="preserve">including but not limited </w:t>
      </w:r>
      <w:r w:rsidR="00F5623F">
        <w:t>to</w:t>
      </w:r>
      <w:proofErr w:type="gramEnd"/>
      <w:r w:rsidR="00CF05E3">
        <w:t xml:space="preserve"> </w:t>
      </w:r>
      <w:r w:rsidR="00D34B84">
        <w:t xml:space="preserve">energy </w:t>
      </w:r>
      <w:r w:rsidR="00CF05E3">
        <w:t xml:space="preserve">storage, </w:t>
      </w:r>
      <w:r w:rsidR="003F19A7">
        <w:t xml:space="preserve">contractor support, financing, program requirements and program administration. </w:t>
      </w:r>
      <w:r w:rsidR="00770A63">
        <w:t>T</w:t>
      </w:r>
      <w:r w:rsidR="0068671C">
        <w:t>he reasonableness of setting higher incentive levels for projects located in disadvant</w:t>
      </w:r>
      <w:r w:rsidR="000473CF">
        <w:t>ag</w:t>
      </w:r>
      <w:r w:rsidR="0068671C">
        <w:t>ed communities</w:t>
      </w:r>
      <w:r w:rsidR="00B150CC">
        <w:t xml:space="preserve"> </w:t>
      </w:r>
      <w:r w:rsidR="00F81A2A">
        <w:t xml:space="preserve">is </w:t>
      </w:r>
      <w:r w:rsidR="00B150CC">
        <w:t>best</w:t>
      </w:r>
      <w:r w:rsidR="00F81A2A">
        <w:t xml:space="preserve"> considered in the context of</w:t>
      </w:r>
      <w:r w:rsidR="00925F1F">
        <w:t xml:space="preserve"> broader changes t</w:t>
      </w:r>
      <w:r w:rsidR="00382B76">
        <w:t xml:space="preserve">hat </w:t>
      </w:r>
      <w:r>
        <w:t xml:space="preserve">collectively </w:t>
      </w:r>
      <w:r w:rsidR="00382B76">
        <w:t xml:space="preserve">could </w:t>
      </w:r>
      <w:r>
        <w:t>better</w:t>
      </w:r>
      <w:r w:rsidR="00674418">
        <w:t xml:space="preserve"> address barriers to </w:t>
      </w:r>
      <w:r w:rsidR="00AB2522">
        <w:t xml:space="preserve">greater participation in </w:t>
      </w:r>
      <w:r>
        <w:t>DACs</w:t>
      </w:r>
      <w:r w:rsidR="00AB2522">
        <w:t xml:space="preserve">. </w:t>
      </w:r>
      <w:r w:rsidR="006F62B6">
        <w:t>As part of the forthcoming ruling, w</w:t>
      </w:r>
      <w:r w:rsidR="00B150CC">
        <w:t xml:space="preserve">e will seek further data on </w:t>
      </w:r>
      <w:r w:rsidR="00B97369">
        <w:t xml:space="preserve">the necessity of </w:t>
      </w:r>
      <w:r w:rsidR="00B7507C">
        <w:t>increased incentives for DACs</w:t>
      </w:r>
      <w:r w:rsidR="008B7F9D">
        <w:t xml:space="preserve">, </w:t>
      </w:r>
      <w:r w:rsidR="005F4546">
        <w:t>as well as other information; our overall policy preference is to increase uptake in DACs in the most effective</w:t>
      </w:r>
      <w:r w:rsidR="00A31091">
        <w:t xml:space="preserve"> manner that most directly benefits the communities themselves. </w:t>
      </w:r>
    </w:p>
    <w:p w:rsidR="005939A5" w:rsidP="00834C05" w:rsidRDefault="00D01649" w14:paraId="5F753DB3" w14:textId="1DEB9AC3">
      <w:pPr>
        <w:pStyle w:val="Heading1"/>
        <w:numPr>
          <w:ilvl w:val="0"/>
          <w:numId w:val="1"/>
        </w:numPr>
      </w:pPr>
      <w:bookmarkStart w:name="_Toc125572406" w:id="7"/>
      <w:r>
        <w:lastRenderedPageBreak/>
        <w:t xml:space="preserve">Elimination of the </w:t>
      </w:r>
      <w:r w:rsidR="00020E27">
        <w:t>A</w:t>
      </w:r>
      <w:r>
        <w:t>nnual</w:t>
      </w:r>
      <w:r w:rsidR="00020E27">
        <w:br/>
        <w:t>S</w:t>
      </w:r>
      <w:r>
        <w:t>tep-</w:t>
      </w:r>
      <w:r w:rsidR="00020E27">
        <w:t>D</w:t>
      </w:r>
      <w:r>
        <w:t xml:space="preserve">own in </w:t>
      </w:r>
      <w:r w:rsidR="00020E27">
        <w:t>I</w:t>
      </w:r>
      <w:r>
        <w:t>ncentives</w:t>
      </w:r>
      <w:bookmarkEnd w:id="7"/>
    </w:p>
    <w:p w:rsidRPr="000E270A" w:rsidR="000E270A" w:rsidP="00AD67B1" w:rsidRDefault="00544B18" w14:paraId="69F8724B" w14:textId="089261A1">
      <w:pPr>
        <w:pStyle w:val="Standard"/>
      </w:pPr>
      <w:r>
        <w:t>I</w:t>
      </w:r>
      <w:r w:rsidR="00CC2855">
        <w:t>t is reasonable to eliminate the annual incentive</w:t>
      </w:r>
      <w:r w:rsidR="00B00DA0">
        <w:t xml:space="preserve"> step-down </w:t>
      </w:r>
      <w:r w:rsidR="00225450">
        <w:t>methodology</w:t>
      </w:r>
      <w:r w:rsidR="00B00DA0">
        <w:t xml:space="preserve"> adopted in D.17-12-022. </w:t>
      </w:r>
      <w:r w:rsidR="00E55B9E">
        <w:t>D.17-12-022 adopted the annual step-down methodology in response to the legislature’s direction that we ensure “incentive levels…are aligned with the installation costs for solar energy systems in affordable housing markets.”</w:t>
      </w:r>
      <w:r w:rsidR="00E55B9E">
        <w:rPr>
          <w:rStyle w:val="FootnoteReference"/>
        </w:rPr>
        <w:footnoteReference w:id="16"/>
      </w:r>
      <w:r w:rsidR="00817BE9">
        <w:t xml:space="preserve"> </w:t>
      </w:r>
      <w:r w:rsidR="00F43A72">
        <w:t xml:space="preserve">While </w:t>
      </w:r>
      <w:r w:rsidR="00723790">
        <w:t xml:space="preserve">D.17-12-022 found this methodology reasonable, and </w:t>
      </w:r>
      <w:r w:rsidR="00D9345D">
        <w:t>this decision</w:t>
      </w:r>
      <w:r w:rsidR="00723790">
        <w:t xml:space="preserve"> do</w:t>
      </w:r>
      <w:r w:rsidR="00D9345D">
        <w:t>es</w:t>
      </w:r>
      <w:r w:rsidR="00723790">
        <w:t xml:space="preserve"> not disturb that finding, </w:t>
      </w:r>
      <w:r w:rsidR="0072325A">
        <w:t xml:space="preserve">incorporating such a methodology </w:t>
      </w:r>
      <w:r w:rsidR="008D25EE">
        <w:t>was not required</w:t>
      </w:r>
      <w:r w:rsidR="007A0F15">
        <w:t xml:space="preserve"> </w:t>
      </w:r>
      <w:r w:rsidR="00E80259">
        <w:t xml:space="preserve">to comply with the legislature’s direction. </w:t>
      </w:r>
      <w:r w:rsidR="00445A98">
        <w:t>Further, t</w:t>
      </w:r>
      <w:r w:rsidR="00817BE9">
        <w:t xml:space="preserve">he petition correctly notes that the </w:t>
      </w:r>
      <w:r w:rsidR="001816D7">
        <w:t xml:space="preserve">data source for determining the percentage change in project costs </w:t>
      </w:r>
      <w:r w:rsidR="0028079D">
        <w:t xml:space="preserve">– the National Renewable Energy Laboratory’s quarterly </w:t>
      </w:r>
      <w:r w:rsidR="00CC6BEB">
        <w:t>“U.S. Photovoltaic Prices and Cost Breakdowns” Technical Report – is based on small</w:t>
      </w:r>
      <w:r w:rsidR="0070563D">
        <w:noBreakHyphen/>
      </w:r>
      <w:r w:rsidR="00CC6BEB">
        <w:t>scale, single</w:t>
      </w:r>
      <w:r w:rsidR="00672F3D">
        <w:t>-</w:t>
      </w:r>
      <w:r w:rsidR="00CC6BEB">
        <w:t>family home installations</w:t>
      </w:r>
      <w:r w:rsidR="00B47142">
        <w:t>;</w:t>
      </w:r>
      <w:r w:rsidR="00672F3D">
        <w:t xml:space="preserve"> </w:t>
      </w:r>
      <w:r w:rsidR="00B47142">
        <w:t>p</w:t>
      </w:r>
      <w:r w:rsidR="00B35916">
        <w:t xml:space="preserve">arties do not appear to dispute that </w:t>
      </w:r>
      <w:r w:rsidR="00F14B2D">
        <w:t xml:space="preserve">these types of projects, and their associated costs, are not comparable </w:t>
      </w:r>
      <w:r w:rsidR="009B289B">
        <w:t xml:space="preserve">to </w:t>
      </w:r>
      <w:r w:rsidR="00AD67B1">
        <w:t xml:space="preserve">SOMAH projects. </w:t>
      </w:r>
      <w:r w:rsidR="00A35A20">
        <w:t>No party has identified an alternative data source, other than reported SOMAH project cost data</w:t>
      </w:r>
      <w:r w:rsidR="00C11BF2">
        <w:t>, that accurately reflects the</w:t>
      </w:r>
      <w:r w:rsidR="0040045F">
        <w:t xml:space="preserve"> population that </w:t>
      </w:r>
      <w:r w:rsidR="00150309">
        <w:t xml:space="preserve">SOMAH is intended to serve, </w:t>
      </w:r>
      <w:r w:rsidRPr="0070563D" w:rsidR="00150309">
        <w:rPr>
          <w:i/>
          <w:iCs/>
        </w:rPr>
        <w:t>i.e</w:t>
      </w:r>
      <w:r w:rsidR="00150309">
        <w:t>.,</w:t>
      </w:r>
      <w:r w:rsidR="00C11BF2">
        <w:t xml:space="preserve"> multifamily affordable </w:t>
      </w:r>
      <w:r w:rsidR="00150309">
        <w:t>housing</w:t>
      </w:r>
      <w:r w:rsidR="00604609">
        <w:t>. Moreover,</w:t>
      </w:r>
      <w:r w:rsidR="00CC7B2C">
        <w:t xml:space="preserve"> reported project costs</w:t>
      </w:r>
      <w:r w:rsidR="003E79E1">
        <w:t xml:space="preserve"> are not necessarily reflective of the general multifamily market but rather </w:t>
      </w:r>
      <w:r w:rsidR="00E426D2">
        <w:t xml:space="preserve">of the cost of SOMAH program participation. </w:t>
      </w:r>
      <w:r w:rsidR="00D17601">
        <w:t>We also acknowledge, as the petition details,</w:t>
      </w:r>
      <w:r w:rsidR="00DD12E5">
        <w:t xml:space="preserve"> that </w:t>
      </w:r>
      <w:r w:rsidR="002C23FE">
        <w:t xml:space="preserve">the </w:t>
      </w:r>
      <w:r w:rsidR="0088394A">
        <w:t>MASH</w:t>
      </w:r>
      <w:r w:rsidR="001A756A">
        <w:t xml:space="preserve"> </w:t>
      </w:r>
      <w:r w:rsidR="0083754D">
        <w:t xml:space="preserve">program did not </w:t>
      </w:r>
      <w:r w:rsidR="007B59A0">
        <w:t xml:space="preserve">include </w:t>
      </w:r>
      <w:r w:rsidR="0083754D">
        <w:t>an incentive step-down process</w:t>
      </w:r>
      <w:r w:rsidR="00A709BB">
        <w:t>;</w:t>
      </w:r>
      <w:r w:rsidR="0083754D">
        <w:t xml:space="preserve"> and</w:t>
      </w:r>
      <w:r w:rsidR="001A35CF">
        <w:t xml:space="preserve"> the </w:t>
      </w:r>
      <w:r w:rsidR="0088394A">
        <w:t>LIWP</w:t>
      </w:r>
      <w:r w:rsidR="009877E7">
        <w:t xml:space="preserve">, administered by the </w:t>
      </w:r>
      <w:r w:rsidR="00E86B7D">
        <w:t xml:space="preserve">California </w:t>
      </w:r>
      <w:r w:rsidR="000F7401">
        <w:t xml:space="preserve">Department of </w:t>
      </w:r>
      <w:r w:rsidR="00E86B7D">
        <w:t>Community</w:t>
      </w:r>
      <w:r w:rsidR="000F7401">
        <w:t xml:space="preserve"> Services and Development</w:t>
      </w:r>
      <w:r w:rsidR="009877E7">
        <w:t xml:space="preserve">, </w:t>
      </w:r>
      <w:r w:rsidR="00A815E9">
        <w:t xml:space="preserve">has maintained the same solar photovoltaic incentive levels since early 2018 </w:t>
      </w:r>
      <w:r w:rsidR="006748E1">
        <w:t>and</w:t>
      </w:r>
      <w:r w:rsidR="00BA14D1">
        <w:t>,</w:t>
      </w:r>
      <w:r w:rsidR="006748E1">
        <w:t xml:space="preserve"> in 2020</w:t>
      </w:r>
      <w:r w:rsidR="00BA14D1">
        <w:t>,</w:t>
      </w:r>
      <w:r w:rsidR="006748E1">
        <w:t xml:space="preserve"> </w:t>
      </w:r>
      <w:r w:rsidR="00FD7378">
        <w:t xml:space="preserve">reinstated round </w:t>
      </w:r>
      <w:r w:rsidR="00FD7378">
        <w:lastRenderedPageBreak/>
        <w:t>1 incentive levels for properties serving formerly unhoused populations</w:t>
      </w:r>
      <w:r w:rsidR="00854BD4">
        <w:t>.</w:t>
      </w:r>
      <w:r w:rsidR="00E86B7D">
        <w:t xml:space="preserve"> </w:t>
      </w:r>
      <w:r w:rsidR="00A709BB">
        <w:t>For all these reasons</w:t>
      </w:r>
      <w:r w:rsidR="004830C1">
        <w:t xml:space="preserve">, </w:t>
      </w:r>
      <w:r w:rsidR="00DD35AE">
        <w:t>it is reasonable</w:t>
      </w:r>
      <w:r w:rsidR="0099103B">
        <w:t xml:space="preserve"> </w:t>
      </w:r>
      <w:r w:rsidR="00FE3909">
        <w:t xml:space="preserve">to </w:t>
      </w:r>
      <w:r w:rsidR="00327195">
        <w:t>eliminate the incentive step-down process</w:t>
      </w:r>
      <w:r w:rsidR="0099103B">
        <w:t xml:space="preserve"> to </w:t>
      </w:r>
      <w:r w:rsidR="00DD2105">
        <w:t>achieve the program’s goals.</w:t>
      </w:r>
      <w:r w:rsidR="007930EE">
        <w:t xml:space="preserve"> </w:t>
      </w:r>
    </w:p>
    <w:p w:rsidR="00FA1B4F" w:rsidP="00834C05" w:rsidRDefault="00337D74" w14:paraId="7B459E02" w14:textId="7FD3209D">
      <w:pPr>
        <w:pStyle w:val="Heading1"/>
        <w:numPr>
          <w:ilvl w:val="0"/>
          <w:numId w:val="1"/>
        </w:numPr>
      </w:pPr>
      <w:bookmarkStart w:name="_Toc125572407" w:id="8"/>
      <w:r>
        <w:t xml:space="preserve">The </w:t>
      </w:r>
      <w:r w:rsidR="0070563D">
        <w:t>P</w:t>
      </w:r>
      <w:r>
        <w:t xml:space="preserve">etition’s </w:t>
      </w:r>
      <w:r w:rsidR="0070563D">
        <w:t>R</w:t>
      </w:r>
      <w:r>
        <w:t xml:space="preserve">equest for </w:t>
      </w:r>
      <w:r w:rsidR="0070563D">
        <w:t>A</w:t>
      </w:r>
      <w:r>
        <w:t>uthorization to</w:t>
      </w:r>
      <w:r w:rsidR="0070563D">
        <w:br/>
        <w:t>P</w:t>
      </w:r>
      <w:r>
        <w:t xml:space="preserve">ropose </w:t>
      </w:r>
      <w:r w:rsidR="0070563D">
        <w:t>F</w:t>
      </w:r>
      <w:r>
        <w:t xml:space="preserve">uture </w:t>
      </w:r>
      <w:r w:rsidR="0070563D">
        <w:t>I</w:t>
      </w:r>
      <w:r>
        <w:t xml:space="preserve">ncentive </w:t>
      </w:r>
      <w:r w:rsidR="0070563D">
        <w:t>L</w:t>
      </w:r>
      <w:r>
        <w:t xml:space="preserve">evel </w:t>
      </w:r>
      <w:r w:rsidR="0070563D">
        <w:t>C</w:t>
      </w:r>
      <w:r>
        <w:t>hanges via</w:t>
      </w:r>
      <w:r w:rsidR="0070563D">
        <w:br/>
        <w:t>A</w:t>
      </w:r>
      <w:r>
        <w:t xml:space="preserve">dvice </w:t>
      </w:r>
      <w:r w:rsidR="0070563D">
        <w:t>L</w:t>
      </w:r>
      <w:r>
        <w:t xml:space="preserve">etter is </w:t>
      </w:r>
      <w:r w:rsidR="0070563D">
        <w:t>D</w:t>
      </w:r>
      <w:r>
        <w:t>enied</w:t>
      </w:r>
      <w:bookmarkEnd w:id="8"/>
    </w:p>
    <w:p w:rsidRPr="00343E5C" w:rsidR="00343E5C" w:rsidP="00343E5C" w:rsidRDefault="00C32E24" w14:paraId="38CB9FBF" w14:textId="74CF825A">
      <w:pPr>
        <w:pStyle w:val="Standard"/>
      </w:pPr>
      <w:r>
        <w:t>As discussed in Section</w:t>
      </w:r>
      <w:r w:rsidR="0070563D">
        <w:t> </w:t>
      </w:r>
      <w:r>
        <w:t xml:space="preserve">3 of this decision, the Commission intends to </w:t>
      </w:r>
      <w:r w:rsidR="00290C9F">
        <w:t xml:space="preserve">consider broader revisions to the SOMAH program, which </w:t>
      </w:r>
      <w:r w:rsidR="00DE3F31">
        <w:t xml:space="preserve">may </w:t>
      </w:r>
      <w:r w:rsidR="008B5A27">
        <w:t xml:space="preserve">more effectively address participation than </w:t>
      </w:r>
      <w:r w:rsidR="008B04A5">
        <w:t xml:space="preserve">revising incentive levels alone. Further, </w:t>
      </w:r>
      <w:r w:rsidR="00C67D78">
        <w:t xml:space="preserve">the various factors on which the petition proposes to base </w:t>
      </w:r>
      <w:r w:rsidR="00235D91">
        <w:t>future modifications</w:t>
      </w:r>
      <w:r w:rsidR="00016EB7">
        <w:t xml:space="preserve"> would require </w:t>
      </w:r>
      <w:r w:rsidR="00BC79D9">
        <w:t xml:space="preserve">more than </w:t>
      </w:r>
      <w:r w:rsidR="008231D0">
        <w:t xml:space="preserve">a </w:t>
      </w:r>
      <w:r w:rsidR="00016EB7">
        <w:t>ministerial determination</w:t>
      </w:r>
      <w:r w:rsidR="008231D0">
        <w:t xml:space="preserve">, which is generally not appropriate </w:t>
      </w:r>
      <w:r w:rsidR="00264FF9">
        <w:t xml:space="preserve">for disposition via </w:t>
      </w:r>
      <w:r w:rsidR="002A6FF2">
        <w:t>A</w:t>
      </w:r>
      <w:r w:rsidR="00264FF9">
        <w:t xml:space="preserve">dvice </w:t>
      </w:r>
      <w:r w:rsidR="002A6FF2">
        <w:t>L</w:t>
      </w:r>
      <w:r w:rsidR="00264FF9">
        <w:t xml:space="preserve">etter. </w:t>
      </w:r>
      <w:r w:rsidR="0065754D">
        <w:t>Separate but relatedly</w:t>
      </w:r>
      <w:r w:rsidR="00414C72">
        <w:t xml:space="preserve">, </w:t>
      </w:r>
      <w:r w:rsidR="008967BA">
        <w:t xml:space="preserve">the </w:t>
      </w:r>
      <w:r w:rsidR="00695259">
        <w:t>proposed</w:t>
      </w:r>
      <w:r w:rsidR="008967BA">
        <w:t xml:space="preserve"> program participation and total project cost criteria </w:t>
      </w:r>
      <w:r w:rsidR="006E4710">
        <w:t>raise</w:t>
      </w:r>
      <w:r w:rsidR="005725F2">
        <w:t xml:space="preserve"> a concern that they may</w:t>
      </w:r>
      <w:r w:rsidR="0051637F">
        <w:t xml:space="preserve"> incentiv</w:t>
      </w:r>
      <w:r w:rsidR="005725F2">
        <w:t>iz</w:t>
      </w:r>
      <w:r w:rsidR="0051637F">
        <w:t xml:space="preserve">e </w:t>
      </w:r>
      <w:r w:rsidR="005D126E">
        <w:t xml:space="preserve">less scrupulous </w:t>
      </w:r>
      <w:r w:rsidR="002B305E">
        <w:t xml:space="preserve">project developers either </w:t>
      </w:r>
      <w:r w:rsidR="00AD0F7B">
        <w:t xml:space="preserve">to </w:t>
      </w:r>
      <w:r w:rsidR="003B2B7B">
        <w:t>refrain</w:t>
      </w:r>
      <w:r w:rsidR="002B305E">
        <w:t xml:space="preserve"> from submitting projects</w:t>
      </w:r>
      <w:r w:rsidR="005725F2">
        <w:t xml:space="preserve"> or to inflate their reported project costs, </w:t>
      </w:r>
      <w:r w:rsidR="002B0609">
        <w:t xml:space="preserve">in an effort to prompt the </w:t>
      </w:r>
      <w:r w:rsidR="000418B6">
        <w:t>P</w:t>
      </w:r>
      <w:r w:rsidR="002B0609">
        <w:t xml:space="preserve">rogram </w:t>
      </w:r>
      <w:r w:rsidR="000418B6">
        <w:t>A</w:t>
      </w:r>
      <w:r w:rsidR="002B0609">
        <w:t>dministrator to propose higher incentives.</w:t>
      </w:r>
      <w:r w:rsidR="002B305E">
        <w:t xml:space="preserve"> </w:t>
      </w:r>
      <w:r w:rsidR="00B62874">
        <w:t>We do not find the</w:t>
      </w:r>
      <w:r w:rsidR="005A4354">
        <w:t xml:space="preserve"> example of D.13</w:t>
      </w:r>
      <w:r w:rsidR="0070563D">
        <w:noBreakHyphen/>
      </w:r>
      <w:r w:rsidR="005A4354">
        <w:t>08-004</w:t>
      </w:r>
      <w:r w:rsidR="00CD16B2">
        <w:t>,</w:t>
      </w:r>
      <w:r w:rsidR="005A4354">
        <w:t xml:space="preserve"> </w:t>
      </w:r>
      <w:r w:rsidR="007761B6">
        <w:t xml:space="preserve">permitting the </w:t>
      </w:r>
      <w:r w:rsidR="00D4057A">
        <w:t>California Solar Initiative</w:t>
      </w:r>
      <w:r w:rsidR="004F35AA">
        <w:t xml:space="preserve"> </w:t>
      </w:r>
      <w:r w:rsidR="00D4057A">
        <w:t>Thermal program administrators</w:t>
      </w:r>
      <w:r w:rsidR="00836291">
        <w:t xml:space="preserve"> </w:t>
      </w:r>
      <w:r w:rsidR="00431659">
        <w:t>to reduce project incentive</w:t>
      </w:r>
      <w:r w:rsidR="00BB0C9A">
        <w:t xml:space="preserve"> amount</w:t>
      </w:r>
      <w:r w:rsidR="00431659">
        <w:t>s via</w:t>
      </w:r>
      <w:r w:rsidR="00836291">
        <w:t xml:space="preserve"> a Tier 2 </w:t>
      </w:r>
      <w:r w:rsidR="0070563D">
        <w:t>A</w:t>
      </w:r>
      <w:r w:rsidR="00836291">
        <w:t xml:space="preserve">dvice </w:t>
      </w:r>
      <w:r w:rsidR="0070563D">
        <w:t>L</w:t>
      </w:r>
      <w:r w:rsidR="00836291">
        <w:t>etter</w:t>
      </w:r>
      <w:r w:rsidR="00CD16B2">
        <w:t>,</w:t>
      </w:r>
      <w:r w:rsidR="007761B6">
        <w:t xml:space="preserve"> </w:t>
      </w:r>
      <w:r w:rsidR="00217518">
        <w:t>to be reasonably comparable to</w:t>
      </w:r>
      <w:r w:rsidR="00431659">
        <w:t xml:space="preserve"> the instant situation</w:t>
      </w:r>
      <w:r w:rsidRPr="00255DE1" w:rsidR="006C0259">
        <w:t>:</w:t>
      </w:r>
      <w:r w:rsidR="006C0259">
        <w:t xml:space="preserve"> whereas </w:t>
      </w:r>
      <w:r w:rsidR="009E2ECA">
        <w:t xml:space="preserve">D.13-08-004 </w:t>
      </w:r>
      <w:r w:rsidR="002159A4">
        <w:t xml:space="preserve">permitted a one-time modification to </w:t>
      </w:r>
      <w:r w:rsidR="00807E4A">
        <w:t xml:space="preserve">the total incentive amount, here the petition requests the ability to modify incentive levels </w:t>
      </w:r>
      <w:r w:rsidR="002300BD">
        <w:t>an unlimited number of times</w:t>
      </w:r>
      <w:r w:rsidR="00F37B94">
        <w:t xml:space="preserve">, which may </w:t>
      </w:r>
      <w:r w:rsidR="009D01F7">
        <w:t>unnecessarily raise uncertainty</w:t>
      </w:r>
      <w:r w:rsidR="00EB11E1">
        <w:t xml:space="preserve"> and </w:t>
      </w:r>
      <w:r w:rsidR="00073D65">
        <w:t xml:space="preserve">thereby </w:t>
      </w:r>
      <w:r w:rsidR="00EB11E1">
        <w:t>negatively impact participation.</w:t>
      </w:r>
      <w:r w:rsidR="00EB11E1">
        <w:rPr>
          <w:rStyle w:val="FootnoteReference"/>
        </w:rPr>
        <w:footnoteReference w:id="17"/>
      </w:r>
      <w:r w:rsidR="003C3F3F">
        <w:t xml:space="preserve"> </w:t>
      </w:r>
    </w:p>
    <w:p w:rsidR="005939A5" w:rsidP="00834C05" w:rsidRDefault="005939A5" w14:paraId="76BC4750" w14:textId="77777777">
      <w:pPr>
        <w:pStyle w:val="Heading1"/>
        <w:numPr>
          <w:ilvl w:val="0"/>
          <w:numId w:val="1"/>
        </w:numPr>
      </w:pPr>
      <w:bookmarkStart w:name="_Toc8123723" w:id="9"/>
      <w:bookmarkStart w:name="_Toc125572408" w:id="10"/>
      <w:r>
        <w:lastRenderedPageBreak/>
        <w:t>Comments on Proposed Decision</w:t>
      </w:r>
      <w:bookmarkEnd w:id="9"/>
      <w:bookmarkEnd w:id="10"/>
    </w:p>
    <w:p w:rsidR="003166EC" w:rsidP="000605C0" w:rsidRDefault="005C58FA" w14:paraId="4C0FFDA8" w14:textId="39DD470D">
      <w:pPr>
        <w:pStyle w:val="Standard"/>
      </w:pPr>
      <w:r w:rsidRPr="004274DA">
        <w:t xml:space="preserve">The proposed decision of </w:t>
      </w:r>
      <w:r w:rsidR="0039459C">
        <w:t>Administrative Law Judge (</w:t>
      </w:r>
      <w:r w:rsidRPr="004274DA">
        <w:t>ALJ</w:t>
      </w:r>
      <w:r w:rsidR="0039459C">
        <w:t>)</w:t>
      </w:r>
      <w:r w:rsidRPr="004274DA">
        <w:t xml:space="preserve"> </w:t>
      </w:r>
      <w:r w:rsidRPr="004274DA" w:rsidR="00337D74">
        <w:t>Valerie</w:t>
      </w:r>
      <w:r w:rsidR="0070563D">
        <w:t> </w:t>
      </w:r>
      <w:r w:rsidRPr="004274DA" w:rsidR="00337D74">
        <w:t>U.</w:t>
      </w:r>
      <w:r w:rsidR="0070563D">
        <w:t> </w:t>
      </w:r>
      <w:r w:rsidRPr="004274DA" w:rsidR="00337D74">
        <w:t>Kao</w:t>
      </w:r>
      <w:r w:rsidRPr="004274DA">
        <w:t xml:space="preserve"> in</w:t>
      </w:r>
      <w:r>
        <w:t xml:space="preserve"> this matter was mailed to the parties in accordance with Section 311 of the Pub</w:t>
      </w:r>
      <w:r w:rsidR="00BA14D1">
        <w:t>.</w:t>
      </w:r>
      <w:r>
        <w:t xml:space="preserve"> Util</w:t>
      </w:r>
      <w:r w:rsidR="00BA14D1">
        <w:t>.</w:t>
      </w:r>
      <w:r>
        <w:t xml:space="preserve"> Code and comments were allowed under Rule 14.3 of the Commission’s Rules of Practice and Procedure.  </w:t>
      </w:r>
      <w:r w:rsidR="00C57213">
        <w:t>SCE and CSE filed c</w:t>
      </w:r>
      <w:r>
        <w:t xml:space="preserve">omments on </w:t>
      </w:r>
      <w:r w:rsidR="00C57213">
        <w:t>March 1, 2023</w:t>
      </w:r>
      <w:r>
        <w:t xml:space="preserve">, and </w:t>
      </w:r>
      <w:r w:rsidR="003166EC">
        <w:t xml:space="preserve">CSE filed </w:t>
      </w:r>
      <w:r>
        <w:t xml:space="preserve">reply comments on </w:t>
      </w:r>
      <w:r w:rsidR="003166EC">
        <w:t>March 6, 2023</w:t>
      </w:r>
      <w:r>
        <w:t>.</w:t>
      </w:r>
      <w:r w:rsidRPr="00C878D5" w:rsidR="00C878D5">
        <w:t xml:space="preserve"> </w:t>
      </w:r>
    </w:p>
    <w:p w:rsidR="00FD4F95" w:rsidP="000605C0" w:rsidRDefault="003B5751" w14:paraId="616B4E39" w14:textId="5C6D39A8">
      <w:pPr>
        <w:pStyle w:val="Standard"/>
      </w:pPr>
      <w:r>
        <w:t xml:space="preserve">CSE is supportive of the </w:t>
      </w:r>
      <w:r w:rsidR="008E565C">
        <w:t>proposed decision and requests an estimated issue date for the forthcoming ruling to invite comments on broader SOMAH programmatic changes</w:t>
      </w:r>
      <w:r w:rsidR="000605C0">
        <w:t xml:space="preserve">. </w:t>
      </w:r>
      <w:r w:rsidR="00590869">
        <w:t xml:space="preserve">SCE requests </w:t>
      </w:r>
      <w:r w:rsidR="00B84467">
        <w:t xml:space="preserve">and suggests </w:t>
      </w:r>
      <w:r w:rsidR="00CB6B38">
        <w:t xml:space="preserve">specific </w:t>
      </w:r>
      <w:r w:rsidR="00B979E7">
        <w:t>additional</w:t>
      </w:r>
      <w:r w:rsidR="001D439C">
        <w:t xml:space="preserve"> </w:t>
      </w:r>
      <w:r w:rsidR="00CB6B38">
        <w:t>options</w:t>
      </w:r>
      <w:r w:rsidR="00590869">
        <w:t xml:space="preserve"> for guidance to the SOMAH P</w:t>
      </w:r>
      <w:r w:rsidR="00926931">
        <w:t xml:space="preserve">rogram </w:t>
      </w:r>
      <w:r w:rsidR="00590869">
        <w:t>A</w:t>
      </w:r>
      <w:r w:rsidR="00926931">
        <w:t>dministrator</w:t>
      </w:r>
      <w:r w:rsidR="00590869">
        <w:t xml:space="preserve"> regarding the verification process </w:t>
      </w:r>
      <w:r w:rsidR="00063AD7">
        <w:t xml:space="preserve">for pending applications that request the </w:t>
      </w:r>
      <w:r w:rsidR="00D24549">
        <w:t xml:space="preserve">applicable </w:t>
      </w:r>
      <w:r w:rsidR="00063AD7">
        <w:t>incentive level</w:t>
      </w:r>
      <w:r w:rsidR="00FC1FFE">
        <w:t xml:space="preserve"> adopted by this decision. </w:t>
      </w:r>
      <w:r w:rsidR="003166EC">
        <w:t xml:space="preserve">In reply comments, CSE disagrees with </w:t>
      </w:r>
      <w:r w:rsidR="0099100B">
        <w:t xml:space="preserve">SCE’s requested additional options and states it finds the </w:t>
      </w:r>
      <w:r w:rsidR="000D58C8">
        <w:t xml:space="preserve">direction that the proposed decision provides to the SOMAH </w:t>
      </w:r>
      <w:r w:rsidR="00926931">
        <w:t xml:space="preserve">Program Administrator </w:t>
      </w:r>
      <w:r w:rsidR="000D58C8">
        <w:t xml:space="preserve">is sufficiently detailed and will </w:t>
      </w:r>
      <w:r w:rsidR="00482D55">
        <w:t xml:space="preserve">afford an opportunity for interested parties to </w:t>
      </w:r>
      <w:r w:rsidR="006C2199">
        <w:t>provide feedback on the proposed process before it is implemented.</w:t>
      </w:r>
      <w:r w:rsidR="00482D55">
        <w:t xml:space="preserve"> </w:t>
      </w:r>
      <w:r w:rsidR="000D58C8">
        <w:t xml:space="preserve"> </w:t>
      </w:r>
      <w:r w:rsidR="003B04D6">
        <w:t xml:space="preserve">SCE further requests clarification </w:t>
      </w:r>
      <w:r w:rsidR="00A24569">
        <w:t>of the extent to which</w:t>
      </w:r>
      <w:r w:rsidR="003B04D6">
        <w:t xml:space="preserve"> the forthcoming ruling, to invite comments on </w:t>
      </w:r>
      <w:r w:rsidR="0085123E">
        <w:t xml:space="preserve">broader </w:t>
      </w:r>
      <w:r w:rsidR="00A24569">
        <w:t xml:space="preserve">SOMAH programmatic changes, </w:t>
      </w:r>
      <w:r w:rsidR="008F599D">
        <w:t xml:space="preserve">will be part of the </w:t>
      </w:r>
      <w:r w:rsidR="00F3709E">
        <w:t xml:space="preserve">triennial </w:t>
      </w:r>
      <w:r w:rsidR="008F599D">
        <w:t xml:space="preserve">evaluation required by Public Utilities Code </w:t>
      </w:r>
      <w:r w:rsidR="009746B1">
        <w:t>S</w:t>
      </w:r>
      <w:r w:rsidR="008F599D">
        <w:t>ection 2870(j)(1).</w:t>
      </w:r>
    </w:p>
    <w:p w:rsidR="00866376" w:rsidP="009746B1" w:rsidRDefault="00091DC8" w14:paraId="111E4E44" w14:textId="668505E6">
      <w:pPr>
        <w:pStyle w:val="Standard"/>
      </w:pPr>
      <w:r>
        <w:t xml:space="preserve">The Commission agrees with CSE that the proposed decision’s </w:t>
      </w:r>
      <w:r w:rsidR="00B70ED9">
        <w:t>guidance and directions regarding a process</w:t>
      </w:r>
      <w:r w:rsidR="008A342A">
        <w:t>,</w:t>
      </w:r>
      <w:r w:rsidR="00B70ED9">
        <w:t xml:space="preserve"> to verify that </w:t>
      </w:r>
      <w:r w:rsidR="008A342A">
        <w:t>request</w:t>
      </w:r>
      <w:r w:rsidR="00260B5B">
        <w:t>s</w:t>
      </w:r>
      <w:r w:rsidR="008A342A">
        <w:t xml:space="preserve"> for the applicable </w:t>
      </w:r>
      <w:r w:rsidR="00260B5B">
        <w:t>revised</w:t>
      </w:r>
      <w:r w:rsidR="008A342A">
        <w:t xml:space="preserve"> incentive level come from property owners, is adequate and </w:t>
      </w:r>
      <w:r w:rsidR="00804ACE">
        <w:t>affords opportunity for stakeholder feedback.</w:t>
      </w:r>
      <w:r w:rsidR="00260B5B">
        <w:t xml:space="preserve"> Regarding </w:t>
      </w:r>
      <w:r w:rsidR="00E15783">
        <w:t xml:space="preserve">CSE’s and SCE’s requests related to the forthcoming ruling </w:t>
      </w:r>
      <w:r w:rsidR="00F003A5">
        <w:t xml:space="preserve">on </w:t>
      </w:r>
      <w:r w:rsidR="00A15B10">
        <w:t xml:space="preserve">potential further SOMAH program changes, the Commission anticipates this ruling </w:t>
      </w:r>
      <w:r w:rsidR="00113B9B">
        <w:t>will</w:t>
      </w:r>
      <w:r w:rsidR="00A15B10">
        <w:t xml:space="preserve"> issue </w:t>
      </w:r>
      <w:r w:rsidR="00D93C94">
        <w:t>within</w:t>
      </w:r>
      <w:r w:rsidR="00AA1E83">
        <w:t xml:space="preserve"> 60 days</w:t>
      </w:r>
      <w:r w:rsidR="00D93C94">
        <w:t xml:space="preserve"> after </w:t>
      </w:r>
      <w:r w:rsidR="007F6A42">
        <w:t>th</w:t>
      </w:r>
      <w:r w:rsidR="00C63F41">
        <w:t>e issue</w:t>
      </w:r>
      <w:r w:rsidR="007F6A42">
        <w:t xml:space="preserve"> </w:t>
      </w:r>
      <w:r w:rsidR="00C63F41">
        <w:t xml:space="preserve">date of this </w:t>
      </w:r>
      <w:r w:rsidR="007F6A42">
        <w:t xml:space="preserve">decision, and we confirm this forthcoming ruling </w:t>
      </w:r>
      <w:r w:rsidR="001E1C03">
        <w:t xml:space="preserve">is informed by the </w:t>
      </w:r>
      <w:r w:rsidR="00954DE2">
        <w:lastRenderedPageBreak/>
        <w:t>2020</w:t>
      </w:r>
      <w:r w:rsidR="35D012F4">
        <w:t xml:space="preserve"> and </w:t>
      </w:r>
      <w:r w:rsidR="00954DE2">
        <w:t>2021 SOMAH evaluation reports</w:t>
      </w:r>
      <w:r w:rsidR="001E1C03">
        <w:t xml:space="preserve"> </w:t>
      </w:r>
      <w:r w:rsidR="00DA7323">
        <w:t xml:space="preserve">rather than part of the </w:t>
      </w:r>
      <w:r w:rsidR="008B74FA">
        <w:t>second</w:t>
      </w:r>
      <w:r w:rsidR="00DA7323">
        <w:t xml:space="preserve"> triennial </w:t>
      </w:r>
      <w:r w:rsidR="008B74FA">
        <w:t xml:space="preserve">evaluation, which the </w:t>
      </w:r>
      <w:r w:rsidR="009B68C7">
        <w:t xml:space="preserve">contracted evaluator </w:t>
      </w:r>
      <w:r w:rsidR="00EA3161">
        <w:t>commenced in 2022</w:t>
      </w:r>
      <w:r w:rsidR="00710C4D">
        <w:t xml:space="preserve"> and is </w:t>
      </w:r>
      <w:r w:rsidR="00AF57DB">
        <w:t>ongoing</w:t>
      </w:r>
      <w:r w:rsidR="00EA3161">
        <w:t>.</w:t>
      </w:r>
      <w:r w:rsidR="00CA2408">
        <w:t xml:space="preserve"> </w:t>
      </w:r>
      <w:r w:rsidR="00302137">
        <w:t xml:space="preserve">We will not </w:t>
      </w:r>
      <w:r w:rsidR="003270D3">
        <w:t>prejudge</w:t>
      </w:r>
      <w:r w:rsidR="003E1730">
        <w:t xml:space="preserve"> the </w:t>
      </w:r>
      <w:r w:rsidR="003270D3">
        <w:t xml:space="preserve">outcomes of the </w:t>
      </w:r>
      <w:r w:rsidR="005B5B6D">
        <w:t xml:space="preserve">current </w:t>
      </w:r>
      <w:r w:rsidR="003270D3">
        <w:t>ongoing</w:t>
      </w:r>
      <w:r w:rsidR="003E1730">
        <w:t xml:space="preserve"> </w:t>
      </w:r>
      <w:r w:rsidR="00785602">
        <w:t xml:space="preserve">triennial </w:t>
      </w:r>
      <w:r w:rsidR="003E1730">
        <w:t>evaluation</w:t>
      </w:r>
      <w:r w:rsidR="001F3ABD">
        <w:t xml:space="preserve"> in the forthcoming ruling</w:t>
      </w:r>
      <w:r w:rsidR="00F74430">
        <w:t>.</w:t>
      </w:r>
      <w:r w:rsidR="0051218F">
        <w:t xml:space="preserve"> </w:t>
      </w:r>
    </w:p>
    <w:p w:rsidR="005939A5" w:rsidP="00834C05" w:rsidRDefault="005939A5" w14:paraId="7AD9D67B" w14:textId="77777777">
      <w:pPr>
        <w:pStyle w:val="Heading1"/>
        <w:numPr>
          <w:ilvl w:val="0"/>
          <w:numId w:val="1"/>
        </w:numPr>
      </w:pPr>
      <w:bookmarkStart w:name="_Toc8123724" w:id="11"/>
      <w:bookmarkStart w:name="_Toc125572409" w:id="12"/>
      <w:r>
        <w:t>Assignment of Proceeding</w:t>
      </w:r>
      <w:bookmarkEnd w:id="11"/>
      <w:bookmarkEnd w:id="12"/>
    </w:p>
    <w:p w:rsidR="005939A5" w:rsidP="006E6574" w:rsidRDefault="004274DA" w14:paraId="12062672" w14:textId="5D3D975B">
      <w:pPr>
        <w:pStyle w:val="Standard"/>
      </w:pPr>
      <w:r>
        <w:t>John Reynolds</w:t>
      </w:r>
      <w:r w:rsidR="005939A5">
        <w:t xml:space="preserve"> is the assigned Commissioner and </w:t>
      </w:r>
      <w:r>
        <w:t>Valerie U. Kao</w:t>
      </w:r>
      <w:r w:rsidR="005939A5">
        <w:t xml:space="preserve"> is the assigned </w:t>
      </w:r>
      <w:r>
        <w:t>ALJ</w:t>
      </w:r>
      <w:r w:rsidR="005939A5">
        <w:t xml:space="preserve"> in this proceeding.</w:t>
      </w:r>
    </w:p>
    <w:p w:rsidR="005939A5" w:rsidP="005939A5" w:rsidRDefault="005939A5" w14:paraId="10FD9D56" w14:textId="77777777">
      <w:pPr>
        <w:pStyle w:val="Dummy"/>
      </w:pPr>
      <w:bookmarkStart w:name="_Toc8123725" w:id="13"/>
      <w:bookmarkStart w:name="_Toc125572410" w:id="14"/>
      <w:r>
        <w:t>Findings of Fact</w:t>
      </w:r>
      <w:bookmarkEnd w:id="13"/>
      <w:bookmarkEnd w:id="14"/>
    </w:p>
    <w:p w:rsidR="007E32DF" w:rsidP="007E32DF" w:rsidRDefault="00FC5BAF" w14:paraId="6BD3454C" w14:textId="77777777">
      <w:pPr>
        <w:pStyle w:val="FoF"/>
        <w:numPr>
          <w:ilvl w:val="6"/>
          <w:numId w:val="1"/>
        </w:numPr>
        <w:tabs>
          <w:tab w:val="clear" w:pos="1080"/>
          <w:tab w:val="left" w:pos="900"/>
        </w:tabs>
        <w:ind w:left="0" w:firstLine="540"/>
      </w:pPr>
      <w:r w:rsidRPr="00B843D3">
        <w:t>Participation in the SOMAH program appears to have stalled after initial demand was satisfied</w:t>
      </w:r>
      <w:r w:rsidRPr="00B843D3" w:rsidR="00C878FC">
        <w:t>, and reported project costs appear to have increased</w:t>
      </w:r>
      <w:r w:rsidRPr="00B843D3">
        <w:t>.</w:t>
      </w:r>
    </w:p>
    <w:p w:rsidR="007E32DF" w:rsidP="007E32DF" w:rsidRDefault="00424E96" w14:paraId="09EF2E97" w14:textId="21991312">
      <w:pPr>
        <w:pStyle w:val="FoF"/>
        <w:numPr>
          <w:ilvl w:val="6"/>
          <w:numId w:val="1"/>
        </w:numPr>
        <w:tabs>
          <w:tab w:val="clear" w:pos="1080"/>
          <w:tab w:val="left" w:pos="900"/>
        </w:tabs>
        <w:ind w:left="0" w:firstLine="540"/>
      </w:pPr>
      <w:r w:rsidRPr="00B843D3">
        <w:t xml:space="preserve">The federal Inflation Reduction Act extends the Income Tax Credit and provides other </w:t>
      </w:r>
      <w:r w:rsidR="005053BF">
        <w:t>tax</w:t>
      </w:r>
      <w:r w:rsidRPr="00B843D3">
        <w:t xml:space="preserve"> incentives </w:t>
      </w:r>
      <w:r w:rsidRPr="00B843D3" w:rsidR="00694C2C">
        <w:t>applicable to SOMAH projects.</w:t>
      </w:r>
    </w:p>
    <w:p w:rsidR="007E32DF" w:rsidP="007E32DF" w:rsidRDefault="00B47142" w14:paraId="0731E067" w14:textId="77777777">
      <w:pPr>
        <w:pStyle w:val="FoF"/>
        <w:numPr>
          <w:ilvl w:val="6"/>
          <w:numId w:val="1"/>
        </w:numPr>
        <w:tabs>
          <w:tab w:val="clear" w:pos="1080"/>
          <w:tab w:val="left" w:pos="900"/>
        </w:tabs>
        <w:ind w:left="0" w:firstLine="540"/>
      </w:pPr>
      <w:r w:rsidRPr="00B843D3">
        <w:t xml:space="preserve">An incentive step-down </w:t>
      </w:r>
      <w:r w:rsidRPr="00B843D3" w:rsidR="00A824E4">
        <w:t xml:space="preserve">is not required to comply with </w:t>
      </w:r>
      <w:r w:rsidRPr="00B843D3" w:rsidR="00EB4002">
        <w:t>statutory direction for the SOMAH program.</w:t>
      </w:r>
    </w:p>
    <w:p w:rsidR="007E32DF" w:rsidP="007E32DF" w:rsidRDefault="00CB6194" w14:paraId="026B1CF0" w14:textId="79E565D8">
      <w:pPr>
        <w:pStyle w:val="FoF"/>
        <w:numPr>
          <w:ilvl w:val="6"/>
          <w:numId w:val="1"/>
        </w:numPr>
        <w:tabs>
          <w:tab w:val="clear" w:pos="1080"/>
          <w:tab w:val="left" w:pos="900"/>
        </w:tabs>
        <w:ind w:left="0" w:firstLine="540"/>
      </w:pPr>
      <w:r w:rsidRPr="00B843D3">
        <w:t xml:space="preserve">The </w:t>
      </w:r>
      <w:r w:rsidRPr="00B843D3" w:rsidR="0005224D">
        <w:t xml:space="preserve">National Renewable Energy Laboratory’s </w:t>
      </w:r>
      <w:r w:rsidRPr="00B843D3">
        <w:t xml:space="preserve">quarterly “U.S. Photovoltaic Prices and Cost Breakdowns” </w:t>
      </w:r>
      <w:r w:rsidRPr="00B843D3" w:rsidR="00A177B7">
        <w:t xml:space="preserve">Technical Report </w:t>
      </w:r>
      <w:r w:rsidRPr="00B843D3" w:rsidR="008351D6">
        <w:t>is based on small</w:t>
      </w:r>
      <w:r w:rsidR="0070563D">
        <w:noBreakHyphen/>
      </w:r>
      <w:r w:rsidRPr="00B843D3" w:rsidR="008351D6">
        <w:t xml:space="preserve">scale, single-family home installations, which are distinct from solar installations </w:t>
      </w:r>
      <w:r w:rsidRPr="00B843D3" w:rsidR="00A177B7">
        <w:t>for multifamily affordable housing.</w:t>
      </w:r>
    </w:p>
    <w:p w:rsidR="007E32DF" w:rsidP="007E32DF" w:rsidRDefault="005C5473" w14:paraId="0C6842C5" w14:textId="1D388555">
      <w:pPr>
        <w:pStyle w:val="FoF"/>
        <w:numPr>
          <w:ilvl w:val="6"/>
          <w:numId w:val="1"/>
        </w:numPr>
        <w:tabs>
          <w:tab w:val="clear" w:pos="1080"/>
          <w:tab w:val="left" w:pos="900"/>
        </w:tabs>
        <w:ind w:left="0" w:firstLine="540"/>
      </w:pPr>
      <w:r w:rsidRPr="00B843D3">
        <w:t xml:space="preserve">The </w:t>
      </w:r>
      <w:r w:rsidR="00311A29">
        <w:t>MASH</w:t>
      </w:r>
      <w:r w:rsidRPr="00B843D3" w:rsidR="001A756A">
        <w:t xml:space="preserve"> </w:t>
      </w:r>
      <w:r w:rsidRPr="00B843D3">
        <w:t>program did not include an incentive step-down process.</w:t>
      </w:r>
    </w:p>
    <w:p w:rsidR="007E32DF" w:rsidP="007E32DF" w:rsidRDefault="00924FF0" w14:paraId="1C2E7F37" w14:textId="77777777">
      <w:pPr>
        <w:pStyle w:val="FoF"/>
        <w:numPr>
          <w:ilvl w:val="6"/>
          <w:numId w:val="1"/>
        </w:numPr>
        <w:tabs>
          <w:tab w:val="clear" w:pos="1080"/>
          <w:tab w:val="left" w:pos="900"/>
        </w:tabs>
        <w:ind w:left="0" w:firstLine="540"/>
      </w:pPr>
      <w:r w:rsidRPr="00B843D3">
        <w:t xml:space="preserve">The petition’s proposed factors for </w:t>
      </w:r>
      <w:r w:rsidRPr="00B843D3" w:rsidR="009F1803">
        <w:t>future modifications to SOMAH incentives</w:t>
      </w:r>
      <w:r w:rsidRPr="00B843D3" w:rsidR="000D35FE">
        <w:t>, via advice letter,</w:t>
      </w:r>
      <w:r w:rsidRPr="00B843D3" w:rsidR="009F1803">
        <w:t xml:space="preserve"> would require </w:t>
      </w:r>
      <w:r w:rsidRPr="00B843D3" w:rsidR="00BC79D9">
        <w:t>more than a ministerial determination.</w:t>
      </w:r>
    </w:p>
    <w:p w:rsidRPr="001E2A62" w:rsidR="000F7535" w:rsidP="007E32DF" w:rsidRDefault="000F7535" w14:paraId="39A7AFBD" w14:textId="7E7F26D7">
      <w:pPr>
        <w:pStyle w:val="FoF"/>
        <w:numPr>
          <w:ilvl w:val="6"/>
          <w:numId w:val="1"/>
        </w:numPr>
        <w:tabs>
          <w:tab w:val="clear" w:pos="1080"/>
          <w:tab w:val="left" w:pos="900"/>
        </w:tabs>
        <w:ind w:left="0" w:firstLine="540"/>
      </w:pPr>
      <w:r w:rsidRPr="00B843D3">
        <w:t>The Commission intends to consider broader changes to the SOMAH</w:t>
      </w:r>
      <w:r>
        <w:t xml:space="preserve"> program </w:t>
      </w:r>
      <w:r w:rsidR="00973987">
        <w:t>based on the 2020</w:t>
      </w:r>
      <w:r w:rsidR="00EE5678">
        <w:t>-2021</w:t>
      </w:r>
      <w:r w:rsidR="00973987">
        <w:t xml:space="preserve"> SOMAH program evaluation</w:t>
      </w:r>
      <w:r w:rsidR="00EE5678">
        <w:t xml:space="preserve"> reports</w:t>
      </w:r>
      <w:r w:rsidR="00973987">
        <w:t>.</w:t>
      </w:r>
    </w:p>
    <w:p w:rsidR="005939A5" w:rsidP="005939A5" w:rsidRDefault="005939A5" w14:paraId="6F9D7484" w14:textId="77777777">
      <w:pPr>
        <w:pStyle w:val="Dummy"/>
      </w:pPr>
      <w:bookmarkStart w:name="_Toc8123726" w:id="15"/>
      <w:bookmarkStart w:name="_Toc125572411" w:id="16"/>
      <w:r>
        <w:lastRenderedPageBreak/>
        <w:t>Conclusions of Law</w:t>
      </w:r>
      <w:bookmarkEnd w:id="15"/>
      <w:bookmarkEnd w:id="16"/>
    </w:p>
    <w:p w:rsidR="00554D61" w:rsidP="00554D61" w:rsidRDefault="00DD617A" w14:paraId="690B34A0" w14:textId="322DB5EA">
      <w:pPr>
        <w:pStyle w:val="CoL"/>
        <w:numPr>
          <w:ilvl w:val="0"/>
          <w:numId w:val="17"/>
        </w:numPr>
        <w:tabs>
          <w:tab w:val="left" w:pos="900"/>
        </w:tabs>
        <w:ind w:left="0" w:firstLine="540"/>
      </w:pPr>
      <w:r>
        <w:t xml:space="preserve">It is reasonable to modify SOMAH incentive levels to account for stalled </w:t>
      </w:r>
      <w:r w:rsidR="00623C72">
        <w:t>participation and recent data on project costs.</w:t>
      </w:r>
    </w:p>
    <w:p w:rsidR="00FE4166" w:rsidP="00554D61" w:rsidRDefault="00E149F0" w14:paraId="1EA89D77" w14:textId="165CBDE7">
      <w:pPr>
        <w:pStyle w:val="CoL"/>
        <w:numPr>
          <w:ilvl w:val="0"/>
          <w:numId w:val="17"/>
        </w:numPr>
        <w:tabs>
          <w:tab w:val="left" w:pos="900"/>
        </w:tabs>
        <w:ind w:left="0" w:firstLine="540"/>
      </w:pPr>
      <w:r>
        <w:t xml:space="preserve">The </w:t>
      </w:r>
      <w:r w:rsidR="006C0D27">
        <w:t>revised incentive levels should be available to current applicants</w:t>
      </w:r>
      <w:r w:rsidR="00D82546">
        <w:t xml:space="preserve"> that have not yet submitted their Incentive Claim Milestone documentation</w:t>
      </w:r>
      <w:r w:rsidR="009C43E1">
        <w:t>; any</w:t>
      </w:r>
      <w:r w:rsidR="00CF794D">
        <w:t xml:space="preserve"> such</w:t>
      </w:r>
      <w:r w:rsidR="009C43E1">
        <w:t xml:space="preserve"> request</w:t>
      </w:r>
      <w:r w:rsidR="00CF794D">
        <w:t xml:space="preserve"> for the revised incentive levels should come from the </w:t>
      </w:r>
      <w:r w:rsidR="00AA0671">
        <w:t>property owner.</w:t>
      </w:r>
      <w:r w:rsidR="009C43E1">
        <w:t xml:space="preserve">  </w:t>
      </w:r>
    </w:p>
    <w:p w:rsidR="00554D61" w:rsidP="00554D61" w:rsidRDefault="00623C72" w14:paraId="1A764A06" w14:textId="77777777">
      <w:pPr>
        <w:pStyle w:val="CoL"/>
        <w:numPr>
          <w:ilvl w:val="0"/>
          <w:numId w:val="17"/>
        </w:numPr>
        <w:tabs>
          <w:tab w:val="left" w:pos="900"/>
        </w:tabs>
        <w:ind w:left="0" w:firstLine="540"/>
      </w:pPr>
      <w:r>
        <w:t>It is reasonable to eliminate the incentive step-down methodology from the SOMAH program</w:t>
      </w:r>
      <w:r w:rsidR="0064077C">
        <w:t>.</w:t>
      </w:r>
    </w:p>
    <w:p w:rsidRPr="001E2A62" w:rsidR="008F143D" w:rsidP="00554D61" w:rsidRDefault="00973987" w14:paraId="25C872D5" w14:textId="12C13E0E">
      <w:pPr>
        <w:pStyle w:val="CoL"/>
        <w:numPr>
          <w:ilvl w:val="0"/>
          <w:numId w:val="17"/>
        </w:numPr>
        <w:tabs>
          <w:tab w:val="left" w:pos="900"/>
        </w:tabs>
        <w:ind w:left="0" w:firstLine="540"/>
      </w:pPr>
      <w:r>
        <w:t xml:space="preserve">It is reasonable to deny the petition </w:t>
      </w:r>
      <w:r w:rsidR="00CF3141">
        <w:t>in all other respects, in favor of considering broader changes aimed at</w:t>
      </w:r>
      <w:r w:rsidR="00F416E6">
        <w:t xml:space="preserve"> achieving the SOMAH program goals.</w:t>
      </w:r>
      <w:r w:rsidR="000D35FE">
        <w:t xml:space="preserve"> </w:t>
      </w:r>
    </w:p>
    <w:p w:rsidR="00BB0243" w:rsidP="002A6FF2" w:rsidRDefault="005939A5" w14:paraId="15EA10CD" w14:textId="77777777">
      <w:pPr>
        <w:pStyle w:val="Mainex"/>
        <w:spacing w:before="120" w:after="120" w:line="240" w:lineRule="auto"/>
      </w:pPr>
      <w:bookmarkStart w:name="_Toc125572412" w:id="17"/>
      <w:r>
        <w:t>O</w:t>
      </w:r>
      <w:r w:rsidR="00722850">
        <w:t>RDER</w:t>
      </w:r>
      <w:bookmarkEnd w:id="17"/>
    </w:p>
    <w:p w:rsidRPr="001E2A62" w:rsidR="00932865" w:rsidP="002E43D0" w:rsidRDefault="00BB0243" w14:paraId="5EAC083B" w14:textId="44523AC7">
      <w:pPr>
        <w:keepNext/>
      </w:pPr>
      <w:r w:rsidRPr="00BB0243">
        <w:rPr>
          <w:b/>
        </w:rPr>
        <w:t>IT IS ORDERED</w:t>
      </w:r>
      <w:r>
        <w:t xml:space="preserve"> that:</w:t>
      </w:r>
    </w:p>
    <w:p w:rsidR="002E43D0" w:rsidP="001717E5" w:rsidRDefault="008336A3" w14:paraId="6C1A8B70" w14:textId="5D6D440E">
      <w:pPr>
        <w:pStyle w:val="OP"/>
        <w:numPr>
          <w:ilvl w:val="0"/>
          <w:numId w:val="5"/>
        </w:numPr>
      </w:pPr>
      <w:r>
        <w:t xml:space="preserve">Within 30 days after the issue date of this decision, the Solar on Multifamily Affordable </w:t>
      </w:r>
      <w:r w:rsidR="001A756A">
        <w:t xml:space="preserve">Housing </w:t>
      </w:r>
      <w:r w:rsidR="00E571CA">
        <w:t>P</w:t>
      </w:r>
      <w:r>
        <w:t xml:space="preserve">rogram </w:t>
      </w:r>
      <w:r w:rsidR="00E571CA">
        <w:t>A</w:t>
      </w:r>
      <w:r>
        <w:t xml:space="preserve">dministrator must submit a Tier 2 </w:t>
      </w:r>
      <w:r w:rsidR="0070563D">
        <w:t>A</w:t>
      </w:r>
      <w:r>
        <w:t xml:space="preserve">dvice </w:t>
      </w:r>
      <w:r w:rsidR="0070563D">
        <w:t>L</w:t>
      </w:r>
      <w:r>
        <w:t xml:space="preserve">etter to </w:t>
      </w:r>
      <w:r w:rsidR="00FE07C4">
        <w:t xml:space="preserve">revise the Solar on Multifamily Affordable </w:t>
      </w:r>
      <w:r w:rsidR="001A756A">
        <w:t xml:space="preserve">Housing </w:t>
      </w:r>
      <w:r w:rsidR="00FB02B4">
        <w:t xml:space="preserve">program </w:t>
      </w:r>
      <w:r w:rsidR="00B50729">
        <w:t xml:space="preserve">implementation plan and </w:t>
      </w:r>
      <w:r w:rsidR="00FB02B4">
        <w:t>handbook to implement the revised incentive levels</w:t>
      </w:r>
      <w:r w:rsidR="007E29B6">
        <w:t xml:space="preserve"> and </w:t>
      </w:r>
      <w:r w:rsidR="00F344AE">
        <w:t>request form</w:t>
      </w:r>
      <w:r w:rsidR="00821CDB">
        <w:t xml:space="preserve"> for property owners of currently planned projects</w:t>
      </w:r>
      <w:r w:rsidR="00FB02B4">
        <w:t>, and further to reflect the extension of income tax credits and other incentives provided by the federal Inflation Reduction Act; and to eliminate the incentive step-down methodology</w:t>
      </w:r>
      <w:r w:rsidR="00F5173D">
        <w:t>.</w:t>
      </w:r>
    </w:p>
    <w:p w:rsidR="007917C1" w:rsidP="00D80D7F" w:rsidRDefault="007917C1" w14:paraId="6831D2BF" w14:textId="62A0FC57">
      <w:pPr>
        <w:pStyle w:val="OP"/>
        <w:numPr>
          <w:ilvl w:val="0"/>
          <w:numId w:val="5"/>
        </w:numPr>
      </w:pPr>
      <w:r>
        <w:t xml:space="preserve">Except as provided by Ordering Paragraph 1, the August 11, 2022 </w:t>
      </w:r>
      <w:r w:rsidRPr="007917C1">
        <w:rPr>
          <w:i/>
          <w:iCs/>
        </w:rPr>
        <w:t>Petition of Center for Sustainable Energy for Modification of Decision</w:t>
      </w:r>
      <w:r w:rsidR="0070563D">
        <w:rPr>
          <w:i/>
          <w:iCs/>
        </w:rPr>
        <w:t> </w:t>
      </w:r>
      <w:r w:rsidRPr="007917C1">
        <w:rPr>
          <w:i/>
          <w:iCs/>
        </w:rPr>
        <w:t>17-12</w:t>
      </w:r>
      <w:r w:rsidR="0070563D">
        <w:rPr>
          <w:i/>
          <w:iCs/>
        </w:rPr>
        <w:noBreakHyphen/>
      </w:r>
      <w:r w:rsidRPr="007917C1">
        <w:rPr>
          <w:i/>
          <w:iCs/>
        </w:rPr>
        <w:t>022 to Address the Methodology for Calculating an Annual Step-Down in Incentives for the Solar on Multifamily Affordable Housing Program</w:t>
      </w:r>
      <w:r>
        <w:t xml:space="preserve"> is denied.</w:t>
      </w:r>
    </w:p>
    <w:p w:rsidR="00F6397D" w:rsidP="009746B1" w:rsidRDefault="009445E0" w14:paraId="08C4B560" w14:textId="721D5B14">
      <w:pPr>
        <w:pStyle w:val="OP"/>
        <w:keepNext/>
        <w:keepLines/>
        <w:numPr>
          <w:ilvl w:val="0"/>
          <w:numId w:val="5"/>
        </w:numPr>
        <w:ind w:firstLine="547"/>
      </w:pPr>
      <w:r>
        <w:lastRenderedPageBreak/>
        <w:t xml:space="preserve">Consolidated </w:t>
      </w:r>
      <w:r w:rsidRPr="001E2A62" w:rsidR="00E23CBB">
        <w:t>Rulemaking</w:t>
      </w:r>
      <w:r w:rsidR="0070563D">
        <w:t> </w:t>
      </w:r>
      <w:r w:rsidR="002A1773">
        <w:t>14</w:t>
      </w:r>
      <w:r w:rsidR="0070563D">
        <w:noBreakHyphen/>
      </w:r>
      <w:r w:rsidR="002A1773">
        <w:t>07</w:t>
      </w:r>
      <w:r w:rsidR="0070563D">
        <w:noBreakHyphen/>
      </w:r>
      <w:r w:rsidR="002A1773">
        <w:t>002</w:t>
      </w:r>
      <w:r w:rsidR="002B3C16">
        <w:t xml:space="preserve"> and Application</w:t>
      </w:r>
      <w:r w:rsidR="0070563D">
        <w:t> </w:t>
      </w:r>
      <w:r w:rsidR="002B3C16">
        <w:t>16</w:t>
      </w:r>
      <w:r w:rsidR="0070563D">
        <w:noBreakHyphen/>
      </w:r>
      <w:r w:rsidR="002B3C16">
        <w:t>07</w:t>
      </w:r>
      <w:r w:rsidR="0070563D">
        <w:noBreakHyphen/>
      </w:r>
      <w:r w:rsidR="002B3C16">
        <w:t xml:space="preserve">015 remain open for consideration of potential further changes to </w:t>
      </w:r>
      <w:r w:rsidR="00BA14D1">
        <w:t xml:space="preserve">the Solar on Multifamily </w:t>
      </w:r>
      <w:r w:rsidR="001948C9">
        <w:t xml:space="preserve">Affordable </w:t>
      </w:r>
      <w:r w:rsidR="00BA14D1">
        <w:t>Ho</w:t>
      </w:r>
      <w:r w:rsidR="001948C9">
        <w:t>using</w:t>
      </w:r>
      <w:r w:rsidR="00BA14D1">
        <w:t xml:space="preserve"> </w:t>
      </w:r>
      <w:r w:rsidR="009F030C">
        <w:t xml:space="preserve">and Disadvantaged Communities – Single-family Affordable Solar Homes </w:t>
      </w:r>
      <w:r w:rsidR="00BA14D1">
        <w:t>program</w:t>
      </w:r>
      <w:r w:rsidR="009F030C">
        <w:t>s</w:t>
      </w:r>
      <w:r w:rsidRPr="001E2A62" w:rsidR="00E23CBB">
        <w:t>.</w:t>
      </w:r>
    </w:p>
    <w:p w:rsidR="008F0116" w:rsidP="0070563D" w:rsidRDefault="008F0116" w14:paraId="7D6ED39A" w14:textId="77777777">
      <w:pPr>
        <w:keepNext/>
      </w:pPr>
      <w:r>
        <w:t>This order is effective today.</w:t>
      </w:r>
    </w:p>
    <w:p w:rsidR="00714CF2" w:rsidP="0070563D" w:rsidRDefault="008F0116" w14:paraId="1FB8AFD6" w14:textId="56B8D72C">
      <w:pPr>
        <w:keepNext/>
      </w:pPr>
      <w:r>
        <w:t xml:space="preserve">Dated </w:t>
      </w:r>
      <w:r w:rsidR="00C87BA9">
        <w:t>March 16, 2023</w:t>
      </w:r>
      <w:r>
        <w:t>, at San Francisco, California</w:t>
      </w:r>
      <w:r w:rsidR="0070563D">
        <w:t>.</w:t>
      </w:r>
    </w:p>
    <w:p w:rsidR="00C87BA9" w:rsidP="0070563D" w:rsidRDefault="00C87BA9" w14:paraId="0C239F42" w14:textId="4DA16C82">
      <w:pPr>
        <w:keepNext/>
      </w:pPr>
    </w:p>
    <w:p w:rsidRPr="00146A68" w:rsidR="00C87BA9" w:rsidP="00C87BA9" w:rsidRDefault="00C87BA9" w14:paraId="7A21E599" w14:textId="77777777">
      <w:pPr>
        <w:autoSpaceDE w:val="0"/>
        <w:autoSpaceDN w:val="0"/>
        <w:adjustRightInd w:val="0"/>
        <w:spacing w:line="240" w:lineRule="auto"/>
        <w:ind w:left="5040" w:firstLine="0"/>
        <w:jc w:val="both"/>
        <w:rPr>
          <w:rFonts w:ascii="Palatino" w:hAnsi="Palatino" w:eastAsia="Times New Roman" w:cs="Courier New"/>
          <w:szCs w:val="26"/>
        </w:rPr>
      </w:pPr>
      <w:r w:rsidRPr="00146A68">
        <w:rPr>
          <w:rFonts w:ascii="Palatino" w:hAnsi="Palatino" w:eastAsia="Times New Roman" w:cs="Courier New"/>
          <w:szCs w:val="26"/>
        </w:rPr>
        <w:t>ALICE REYNOLDS</w:t>
      </w:r>
    </w:p>
    <w:p w:rsidRPr="00146A68" w:rsidR="00C87BA9" w:rsidP="00853997" w:rsidRDefault="00C87BA9" w14:paraId="017220BD" w14:textId="77777777">
      <w:pPr>
        <w:tabs>
          <w:tab w:val="right" w:pos="6570"/>
          <w:tab w:val="left" w:pos="6660"/>
        </w:tabs>
        <w:autoSpaceDE w:val="0"/>
        <w:autoSpaceDN w:val="0"/>
        <w:adjustRightInd w:val="0"/>
        <w:spacing w:line="240" w:lineRule="auto"/>
        <w:ind w:right="1980" w:firstLine="0"/>
        <w:jc w:val="right"/>
        <w:rPr>
          <w:rFonts w:ascii="Palatino" w:hAnsi="Palatino" w:eastAsia="Times New Roman" w:cs="Courier New"/>
          <w:szCs w:val="26"/>
        </w:rPr>
      </w:pPr>
      <w:r w:rsidRPr="00146A68">
        <w:rPr>
          <w:rFonts w:ascii="Palatino" w:hAnsi="Palatino" w:eastAsia="Times New Roman" w:cs="Courier New"/>
          <w:szCs w:val="26"/>
        </w:rPr>
        <w:t>President</w:t>
      </w:r>
    </w:p>
    <w:p w:rsidRPr="00146A68" w:rsidR="00C87BA9" w:rsidP="00C87BA9" w:rsidRDefault="00C87BA9" w14:paraId="125E9368" w14:textId="77777777">
      <w:pPr>
        <w:autoSpaceDE w:val="0"/>
        <w:autoSpaceDN w:val="0"/>
        <w:adjustRightInd w:val="0"/>
        <w:spacing w:line="240" w:lineRule="auto"/>
        <w:ind w:left="5040" w:firstLine="0"/>
        <w:jc w:val="both"/>
        <w:rPr>
          <w:rFonts w:ascii="Palatino" w:hAnsi="Palatino" w:eastAsia="Times New Roman" w:cs="Courier New"/>
          <w:szCs w:val="26"/>
        </w:rPr>
      </w:pPr>
      <w:r w:rsidRPr="00146A68">
        <w:rPr>
          <w:rFonts w:ascii="Palatino" w:hAnsi="Palatino" w:eastAsia="Times New Roman" w:cs="Courier New"/>
          <w:szCs w:val="26"/>
        </w:rPr>
        <w:t>GENEVIEVE SHIROMA</w:t>
      </w:r>
    </w:p>
    <w:p w:rsidRPr="00146A68" w:rsidR="00C87BA9" w:rsidP="00C87BA9" w:rsidRDefault="00C87BA9" w14:paraId="5149BEB8" w14:textId="77777777">
      <w:pPr>
        <w:autoSpaceDE w:val="0"/>
        <w:autoSpaceDN w:val="0"/>
        <w:adjustRightInd w:val="0"/>
        <w:spacing w:line="240" w:lineRule="auto"/>
        <w:ind w:left="5040" w:firstLine="0"/>
        <w:jc w:val="both"/>
        <w:rPr>
          <w:rFonts w:ascii="Palatino" w:hAnsi="Palatino" w:eastAsia="Times New Roman" w:cs="Courier New"/>
          <w:szCs w:val="26"/>
        </w:rPr>
      </w:pPr>
      <w:r w:rsidRPr="00146A68">
        <w:rPr>
          <w:rFonts w:ascii="Palatino" w:hAnsi="Palatino" w:eastAsia="Times New Roman" w:cs="Courier New"/>
          <w:szCs w:val="26"/>
        </w:rPr>
        <w:t>DARCIE L. HOUCK</w:t>
      </w:r>
    </w:p>
    <w:p w:rsidRPr="00146A68" w:rsidR="00C87BA9" w:rsidP="00C87BA9" w:rsidRDefault="00C87BA9" w14:paraId="15267831" w14:textId="77777777">
      <w:pPr>
        <w:autoSpaceDE w:val="0"/>
        <w:autoSpaceDN w:val="0"/>
        <w:adjustRightInd w:val="0"/>
        <w:spacing w:line="240" w:lineRule="auto"/>
        <w:ind w:left="5040" w:firstLine="0"/>
        <w:jc w:val="both"/>
        <w:rPr>
          <w:rFonts w:ascii="Palatino" w:hAnsi="Palatino" w:eastAsia="Times New Roman" w:cs="Courier New"/>
          <w:szCs w:val="26"/>
        </w:rPr>
      </w:pPr>
      <w:r w:rsidRPr="00146A68">
        <w:rPr>
          <w:rFonts w:ascii="Palatino" w:hAnsi="Palatino" w:eastAsia="Times New Roman" w:cs="Courier New"/>
          <w:szCs w:val="26"/>
        </w:rPr>
        <w:t>JOHN REYNOLDS</w:t>
      </w:r>
    </w:p>
    <w:p w:rsidRPr="00146A68" w:rsidR="00C87BA9" w:rsidP="00C87BA9" w:rsidRDefault="00C87BA9" w14:paraId="7FDDBBC6" w14:textId="77777777">
      <w:pPr>
        <w:autoSpaceDE w:val="0"/>
        <w:autoSpaceDN w:val="0"/>
        <w:adjustRightInd w:val="0"/>
        <w:spacing w:line="240" w:lineRule="auto"/>
        <w:ind w:left="5040" w:firstLine="0"/>
        <w:jc w:val="both"/>
        <w:rPr>
          <w:rFonts w:ascii="Palatino" w:hAnsi="Palatino" w:eastAsia="Times New Roman" w:cs="Courier New"/>
          <w:szCs w:val="26"/>
        </w:rPr>
      </w:pPr>
      <w:r w:rsidRPr="00146A68">
        <w:rPr>
          <w:rFonts w:ascii="Palatino" w:hAnsi="Palatino" w:eastAsia="Times New Roman" w:cs="Courier New"/>
          <w:szCs w:val="26"/>
        </w:rPr>
        <w:t>KAREN DOUGLAS</w:t>
      </w:r>
    </w:p>
    <w:p w:rsidR="00C87BA9" w:rsidP="00853997" w:rsidRDefault="00C87BA9" w14:paraId="7879A22C" w14:textId="77777777">
      <w:pPr>
        <w:keepNext/>
        <w:keepLines/>
        <w:ind w:firstLine="5670"/>
      </w:pPr>
      <w:r w:rsidRPr="00146A68">
        <w:rPr>
          <w:rFonts w:ascii="Palatino" w:hAnsi="Palatino" w:eastAsia="Times New Roman" w:cs="Courier New"/>
          <w:szCs w:val="26"/>
        </w:rPr>
        <w:t>Commissioners</w:t>
      </w:r>
    </w:p>
    <w:p w:rsidRPr="00C87BA9" w:rsidR="00C87BA9" w:rsidP="0070563D" w:rsidRDefault="00C87BA9" w14:paraId="44CCA6A5" w14:textId="77777777">
      <w:pPr>
        <w:keepNext/>
        <w:rPr>
          <w:b/>
          <w:bCs/>
        </w:rPr>
      </w:pPr>
    </w:p>
    <w:p w:rsidRPr="00714CF2" w:rsidR="0070563D" w:rsidP="0070563D" w:rsidRDefault="0070563D" w14:paraId="796CD0ED" w14:textId="77777777">
      <w:pPr>
        <w:keepNext/>
      </w:pPr>
    </w:p>
    <w:sectPr w:rsidRPr="00714CF2" w:rsidR="0070563D" w:rsidSect="00C7169C">
      <w:headerReference w:type="default" r:id="rId12"/>
      <w:footerReference w:type="default" r:id="rId13"/>
      <w:pgSz w:w="12240" w:h="15840"/>
      <w:pgMar w:top="1728"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403D0" w14:textId="77777777" w:rsidR="00410DD5" w:rsidRDefault="00410DD5" w:rsidP="0098138E">
      <w:pPr>
        <w:spacing w:line="240" w:lineRule="auto"/>
      </w:pPr>
      <w:r>
        <w:separator/>
      </w:r>
    </w:p>
  </w:endnote>
  <w:endnote w:type="continuationSeparator" w:id="0">
    <w:p w14:paraId="36EE068D" w14:textId="77777777" w:rsidR="00410DD5" w:rsidRDefault="00410DD5" w:rsidP="0098138E">
      <w:pPr>
        <w:spacing w:line="240" w:lineRule="auto"/>
      </w:pPr>
      <w:r>
        <w:continuationSeparator/>
      </w:r>
    </w:p>
  </w:endnote>
  <w:endnote w:type="continuationNotice" w:id="1">
    <w:p w14:paraId="56D79E09" w14:textId="77777777" w:rsidR="00410DD5" w:rsidRDefault="00410D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BF74" w14:textId="389199ED" w:rsidR="00E23CBB" w:rsidRDefault="009D4F30" w:rsidP="002A6FF2">
    <w:pPr>
      <w:tabs>
        <w:tab w:val="center" w:pos="4680"/>
      </w:tabs>
      <w:spacing w:line="240" w:lineRule="auto"/>
      <w:ind w:firstLine="0"/>
    </w:pPr>
    <w:r w:rsidRPr="009D4F30">
      <w:rPr>
        <w:sz w:val="16"/>
        <w:szCs w:val="16"/>
      </w:rPr>
      <w:t>503917008</w:t>
    </w:r>
    <w:r w:rsidR="002A6FF2">
      <w:tab/>
    </w:r>
    <w:r w:rsidR="00E23CBB">
      <w:t>-</w:t>
    </w:r>
    <w:sdt>
      <w:sdtPr>
        <w:id w:val="-1034043401"/>
        <w:docPartObj>
          <w:docPartGallery w:val="Page Numbers (Bottom of Page)"/>
          <w:docPartUnique/>
        </w:docPartObj>
      </w:sdtPr>
      <w:sdtEndPr>
        <w:rPr>
          <w:noProof/>
        </w:rPr>
      </w:sdtEndPr>
      <w:sdtContent>
        <w:r w:rsidR="00EE4315">
          <w:t xml:space="preserve"> </w:t>
        </w:r>
        <w:r w:rsidR="002A6FF2">
          <w:fldChar w:fldCharType="begin"/>
        </w:r>
        <w:r w:rsidR="002A6FF2">
          <w:instrText xml:space="preserve"> PAGE   \* MERGEFORMAT </w:instrText>
        </w:r>
        <w:r w:rsidR="002A6FF2">
          <w:fldChar w:fldCharType="separate"/>
        </w:r>
        <w:r w:rsidR="002A6FF2">
          <w:rPr>
            <w:noProof/>
          </w:rPr>
          <w:t>1</w:t>
        </w:r>
        <w:r w:rsidR="002A6FF2">
          <w:rPr>
            <w:noProof/>
          </w:rPr>
          <w:fldChar w:fldCharType="end"/>
        </w:r>
        <w:r w:rsidR="00EE4315">
          <w:rPr>
            <w:noProof/>
          </w:rPr>
          <w:t xml:space="preserve"> </w:t>
        </w:r>
        <w:r w:rsidR="00E23CBB">
          <w:rPr>
            <w:noProof/>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38AB" w14:textId="7482A872" w:rsidR="002A6FF2" w:rsidRDefault="002A6FF2" w:rsidP="002A6FF2">
    <w:pPr>
      <w:tabs>
        <w:tab w:val="center" w:pos="4680"/>
      </w:tabs>
      <w:spacing w:line="240" w:lineRule="auto"/>
      <w:ind w:firstLine="0"/>
    </w:pPr>
    <w:r>
      <w:tab/>
      <w:t>-</w:t>
    </w:r>
    <w:sdt>
      <w:sdtPr>
        <w:id w:val="391698561"/>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Pr>
            <w:noProof/>
          </w:rPr>
          <w:t>1</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C5AE9" w14:textId="77777777" w:rsidR="00410DD5" w:rsidRDefault="00410DD5" w:rsidP="00DF58E7">
      <w:pPr>
        <w:spacing w:line="240" w:lineRule="auto"/>
        <w:ind w:firstLine="0"/>
      </w:pPr>
      <w:r>
        <w:separator/>
      </w:r>
    </w:p>
  </w:footnote>
  <w:footnote w:type="continuationSeparator" w:id="0">
    <w:p w14:paraId="013AAE89" w14:textId="77777777" w:rsidR="00410DD5" w:rsidRDefault="00410DD5" w:rsidP="00DF58E7">
      <w:pPr>
        <w:spacing w:line="240" w:lineRule="auto"/>
        <w:ind w:firstLine="0"/>
      </w:pPr>
      <w:r>
        <w:continuationSeparator/>
      </w:r>
    </w:p>
  </w:footnote>
  <w:footnote w:type="continuationNotice" w:id="1">
    <w:p w14:paraId="0053B0FD" w14:textId="77777777" w:rsidR="00410DD5" w:rsidRPr="00DF58E7" w:rsidRDefault="00410DD5" w:rsidP="00DF58E7">
      <w:pPr>
        <w:spacing w:line="240" w:lineRule="auto"/>
        <w:ind w:firstLine="0"/>
        <w:jc w:val="right"/>
        <w:rPr>
          <w:i/>
          <w:sz w:val="22"/>
        </w:rPr>
      </w:pPr>
      <w:r w:rsidRPr="00DF58E7">
        <w:rPr>
          <w:i/>
          <w:sz w:val="22"/>
        </w:rPr>
        <w:t>Footnote continued on next page.</w:t>
      </w:r>
    </w:p>
  </w:footnote>
  <w:footnote w:id="2">
    <w:p w14:paraId="4594F893" w14:textId="01C11986" w:rsidR="00E600C3" w:rsidRDefault="00E600C3" w:rsidP="00E600C3">
      <w:pPr>
        <w:pStyle w:val="FootnoteText"/>
      </w:pPr>
      <w:r>
        <w:rPr>
          <w:rStyle w:val="FootnoteReference"/>
        </w:rPr>
        <w:footnoteRef/>
      </w:r>
      <w:r>
        <w:t xml:space="preserve"> W</w:t>
      </w:r>
      <w:r w:rsidRPr="00D10106">
        <w:t xml:space="preserve">hile AB 693 and </w:t>
      </w:r>
      <w:r w:rsidR="00C7169C">
        <w:t>Public Utilities (</w:t>
      </w:r>
      <w:r>
        <w:t>Pub. Util.</w:t>
      </w:r>
      <w:r w:rsidR="00C7169C">
        <w:t>)</w:t>
      </w:r>
      <w:r>
        <w:t xml:space="preserve"> Code S</w:t>
      </w:r>
      <w:r w:rsidRPr="00D10106">
        <w:t>ection</w:t>
      </w:r>
      <w:r w:rsidR="00C7169C">
        <w:t> </w:t>
      </w:r>
      <w:r w:rsidRPr="00D10106">
        <w:t>748.5 use the name “Multifamily Affordable Housing Solar Roofs Program,” D.17-12-022 determined that the program implementing the statute would be named the SOMAH program</w:t>
      </w:r>
      <w:r>
        <w:t>.</w:t>
      </w:r>
    </w:p>
  </w:footnote>
  <w:footnote w:id="3">
    <w:p w14:paraId="08A00E8A" w14:textId="5FB4EDB0" w:rsidR="00D82699" w:rsidRDefault="00D82699">
      <w:pPr>
        <w:pStyle w:val="FootnoteText"/>
      </w:pPr>
      <w:r>
        <w:rPr>
          <w:rStyle w:val="FootnoteReference"/>
        </w:rPr>
        <w:footnoteRef/>
      </w:r>
      <w:r>
        <w:t xml:space="preserve"> </w:t>
      </w:r>
      <w:r w:rsidRPr="00D82699">
        <w:t xml:space="preserve">“Proof of Project Milestone” is when the applicant must submit copies of their executed contract, ownership agreement, and performance requirements for third-party owned systems (if applicable). This step occurs before the “Incentive Claim Milestone.” After the system is purchased, installed, and interconnected, then the applicant reaches the “Incentive Claim Milestone” and submits their signed incentive claim form, job training affidavit, final VNEM Load Allocation form, tenant education affidavit, and documentation of load increase (if applicable).  </w:t>
      </w:r>
      <w:r w:rsidR="00BB573D" w:rsidRPr="006C4BAA">
        <w:rPr>
          <w:i/>
          <w:iCs/>
        </w:rPr>
        <w:t>See</w:t>
      </w:r>
      <w:r w:rsidR="00BB573D">
        <w:t xml:space="preserve"> </w:t>
      </w:r>
      <w:r w:rsidR="0068181E">
        <w:t xml:space="preserve">Section 4.2.4 of </w:t>
      </w:r>
      <w:r w:rsidR="00BB573D" w:rsidRPr="00D82699">
        <w:t xml:space="preserve">SOMAH Program Handbook </w:t>
      </w:r>
      <w:r w:rsidR="00BB573D">
        <w:t>(</w:t>
      </w:r>
      <w:r w:rsidR="00BB573D" w:rsidRPr="00D82699">
        <w:t>Fifth Edition</w:t>
      </w:r>
      <w:r w:rsidR="00BB573D">
        <w:t>)</w:t>
      </w:r>
      <w:r w:rsidR="00C216AB">
        <w:t xml:space="preserve">, uniform resource locator (url): </w:t>
      </w:r>
      <w:hyperlink r:id="rId1" w:history="1">
        <w:r w:rsidR="00C216AB" w:rsidRPr="000A16E6">
          <w:rPr>
            <w:rStyle w:val="Hyperlink"/>
          </w:rPr>
          <w:t>https://calsomah.org/sites/default/files/docs/SOMAH-Handbook_FifthEdition.pdf</w:t>
        </w:r>
      </w:hyperlink>
      <w:r w:rsidR="00C216AB">
        <w:t xml:space="preserve"> </w:t>
      </w:r>
    </w:p>
  </w:footnote>
  <w:footnote w:id="4">
    <w:p w14:paraId="2AEE27F7" w14:textId="323437D4" w:rsidR="00F405DF" w:rsidRDefault="00F405DF" w:rsidP="00F405DF">
      <w:pPr>
        <w:pStyle w:val="FootnoteText"/>
      </w:pPr>
      <w:r>
        <w:rPr>
          <w:rStyle w:val="FootnoteReference"/>
        </w:rPr>
        <w:footnoteRef/>
      </w:r>
      <w:r>
        <w:t xml:space="preserve"> </w:t>
      </w:r>
      <w:r w:rsidR="00DC1BB8" w:rsidRPr="00DC1BB8">
        <w:rPr>
          <w:i/>
          <w:iCs/>
        </w:rPr>
        <w:t>Petition of Center for Sustainable Energy® for Modification of Decision</w:t>
      </w:r>
      <w:r w:rsidR="00C7169C">
        <w:rPr>
          <w:i/>
          <w:iCs/>
        </w:rPr>
        <w:t> </w:t>
      </w:r>
      <w:r w:rsidR="00DC1BB8" w:rsidRPr="00DC1BB8">
        <w:rPr>
          <w:i/>
          <w:iCs/>
        </w:rPr>
        <w:t>17</w:t>
      </w:r>
      <w:r w:rsidR="00C7169C">
        <w:rPr>
          <w:i/>
          <w:iCs/>
        </w:rPr>
        <w:noBreakHyphen/>
      </w:r>
      <w:r w:rsidR="00DC1BB8" w:rsidRPr="00DC1BB8">
        <w:rPr>
          <w:i/>
          <w:iCs/>
        </w:rPr>
        <w:t>12</w:t>
      </w:r>
      <w:r w:rsidR="00C7169C">
        <w:rPr>
          <w:i/>
          <w:iCs/>
        </w:rPr>
        <w:noBreakHyphen/>
      </w:r>
      <w:r w:rsidR="00DC1BB8" w:rsidRPr="00DC1BB8">
        <w:rPr>
          <w:i/>
          <w:iCs/>
        </w:rPr>
        <w:t>022 to Address the Methodology for Calculating an Annual Step-down in Incentives for the Solar on Multifamily Affordable Housing Program</w:t>
      </w:r>
      <w:r w:rsidR="00DC1BB8">
        <w:t>, filed August 11, 2022</w:t>
      </w:r>
      <w:r w:rsidR="00A6336D">
        <w:t xml:space="preserve"> (Petition)</w:t>
      </w:r>
      <w:r w:rsidR="00DC1BB8">
        <w:t>, at 10.</w:t>
      </w:r>
    </w:p>
  </w:footnote>
  <w:footnote w:id="5">
    <w:p w14:paraId="4256F00C" w14:textId="622B00A4" w:rsidR="00AF08B3" w:rsidRDefault="00AF08B3">
      <w:pPr>
        <w:pStyle w:val="FootnoteText"/>
      </w:pPr>
      <w:r>
        <w:rPr>
          <w:rStyle w:val="FootnoteReference"/>
        </w:rPr>
        <w:footnoteRef/>
      </w:r>
      <w:r>
        <w:t xml:space="preserve"> </w:t>
      </w:r>
      <w:r w:rsidR="00A6336D">
        <w:t>Petition,</w:t>
      </w:r>
      <w:r>
        <w:t xml:space="preserve"> at </w:t>
      </w:r>
      <w:r w:rsidR="002B2AD1">
        <w:t>12</w:t>
      </w:r>
      <w:r w:rsidR="00A6336D">
        <w:t>.</w:t>
      </w:r>
    </w:p>
  </w:footnote>
  <w:footnote w:id="6">
    <w:p w14:paraId="1B938F44" w14:textId="754CCE11" w:rsidR="00EB3B4F" w:rsidRDefault="00EB3B4F">
      <w:pPr>
        <w:pStyle w:val="FootnoteText"/>
      </w:pPr>
      <w:r>
        <w:rPr>
          <w:rStyle w:val="FootnoteReference"/>
        </w:rPr>
        <w:footnoteRef/>
      </w:r>
      <w:r>
        <w:t xml:space="preserve"> </w:t>
      </w:r>
      <w:r w:rsidRPr="008C6328">
        <w:t>SOMAH Phase II CALMAC ID CPU0330.02</w:t>
      </w:r>
      <w:r w:rsidR="00C801D4">
        <w:t>.</w:t>
      </w:r>
    </w:p>
  </w:footnote>
  <w:footnote w:id="7">
    <w:p w14:paraId="2EF05B82" w14:textId="6ECC8A58" w:rsidR="00011078" w:rsidRDefault="00011078">
      <w:pPr>
        <w:pStyle w:val="FootnoteText"/>
      </w:pPr>
      <w:r>
        <w:rPr>
          <w:rStyle w:val="FootnoteReference"/>
        </w:rPr>
        <w:footnoteRef/>
      </w:r>
      <w:r>
        <w:t xml:space="preserve"> </w:t>
      </w:r>
      <w:r w:rsidR="009A750D">
        <w:t xml:space="preserve">SOMAH Phase II Evaluation described the SOMAH program as-thus </w:t>
      </w:r>
      <w:r w:rsidR="009A750D" w:rsidRPr="000474B8">
        <w:rPr>
          <w:i/>
          <w:iCs/>
        </w:rPr>
        <w:t>“</w:t>
      </w:r>
      <w:r w:rsidRPr="000474B8">
        <w:rPr>
          <w:rFonts w:eastAsia="Calibri" w:cs="Calibri"/>
          <w:b/>
          <w:bCs/>
          <w:i/>
          <w:iCs/>
          <w:szCs w:val="22"/>
        </w:rPr>
        <w:t>SOMAH is not a Market Transformation program.</w:t>
      </w:r>
      <w:r w:rsidRPr="000474B8">
        <w:rPr>
          <w:rFonts w:eastAsia="Calibri" w:cs="Calibri"/>
          <w:i/>
          <w:iCs/>
          <w:szCs w:val="22"/>
        </w:rPr>
        <w:t xml:space="preserve"> Incentive step-downs are typically used for market transformation programs that strive to increase demand for a technology and consequently drive down costs for that technology and therefore the incentives required. The affordable housing properties that the SOMAH Program was developed to serve are reliant on program incentives to install solar, and there is no reason to believe that the need for incentives is going to change over the life of the program or after the program has ended</w:t>
      </w:r>
      <w:r w:rsidR="009A750D" w:rsidRPr="000474B8">
        <w:rPr>
          <w:rFonts w:eastAsia="Calibri" w:cs="Calibri"/>
          <w:i/>
          <w:iCs/>
          <w:szCs w:val="22"/>
        </w:rPr>
        <w:t>”</w:t>
      </w:r>
      <w:r w:rsidR="00962263" w:rsidRPr="000474B8">
        <w:rPr>
          <w:rFonts w:eastAsia="Calibri" w:cs="Calibri"/>
          <w:szCs w:val="22"/>
        </w:rPr>
        <w:t xml:space="preserve">(page </w:t>
      </w:r>
      <w:r w:rsidR="00C52D50" w:rsidRPr="000474B8">
        <w:rPr>
          <w:rFonts w:eastAsia="Calibri" w:cs="Calibri"/>
          <w:szCs w:val="22"/>
        </w:rPr>
        <w:t>93).</w:t>
      </w:r>
    </w:p>
  </w:footnote>
  <w:footnote w:id="8">
    <w:p w14:paraId="49E137C4" w14:textId="3C48EE38" w:rsidR="00F95902" w:rsidRDefault="00F95902">
      <w:pPr>
        <w:pStyle w:val="FootnoteText"/>
      </w:pPr>
      <w:r>
        <w:rPr>
          <w:rStyle w:val="FootnoteReference"/>
        </w:rPr>
        <w:footnoteRef/>
      </w:r>
      <w:r>
        <w:t xml:space="preserve"> </w:t>
      </w:r>
      <w:r w:rsidR="008C6328" w:rsidRPr="008C6328">
        <w:t>SOMAH Evaluation Phase I CALMAC ID CPU0330.01; SOMAH Phase II CALMAC ID CPU0330.02; and SOMAH Vendor Assessment CALMAC ID CPU0330.05</w:t>
      </w:r>
      <w:r w:rsidR="008C6328">
        <w:t>.</w:t>
      </w:r>
    </w:p>
  </w:footnote>
  <w:footnote w:id="9">
    <w:p w14:paraId="463F5410" w14:textId="39A44D90" w:rsidR="006011DB" w:rsidRDefault="006011DB">
      <w:pPr>
        <w:pStyle w:val="FootnoteText"/>
      </w:pPr>
      <w:r>
        <w:rPr>
          <w:rStyle w:val="FootnoteReference"/>
        </w:rPr>
        <w:footnoteRef/>
      </w:r>
      <w:r>
        <w:t xml:space="preserve"> </w:t>
      </w:r>
      <w:r w:rsidR="00394C8A">
        <w:t xml:space="preserve">CSE timely requested and obtained permission to </w:t>
      </w:r>
      <w:r w:rsidR="006513E3">
        <w:t xml:space="preserve">file a reply </w:t>
      </w:r>
      <w:r w:rsidR="00F1329F">
        <w:t xml:space="preserve">to responses to its petition. </w:t>
      </w:r>
      <w:r w:rsidR="001B567E" w:rsidRPr="00020E27">
        <w:rPr>
          <w:i/>
          <w:iCs/>
        </w:rPr>
        <w:t>See</w:t>
      </w:r>
      <w:r w:rsidR="001B567E">
        <w:t xml:space="preserve"> </w:t>
      </w:r>
      <w:r w:rsidR="008704F3" w:rsidRPr="005874F7">
        <w:rPr>
          <w:i/>
          <w:iCs/>
        </w:rPr>
        <w:t xml:space="preserve">Reply of Center for Sustainable </w:t>
      </w:r>
      <w:r w:rsidR="00387ABD" w:rsidRPr="005874F7">
        <w:rPr>
          <w:i/>
          <w:iCs/>
        </w:rPr>
        <w:t>Energy® to Responses for Petition for Modification of D</w:t>
      </w:r>
      <w:r w:rsidR="00020E27">
        <w:rPr>
          <w:i/>
          <w:iCs/>
        </w:rPr>
        <w:t>.</w:t>
      </w:r>
      <w:r w:rsidR="00387ABD" w:rsidRPr="005874F7">
        <w:rPr>
          <w:i/>
          <w:iCs/>
        </w:rPr>
        <w:t>17</w:t>
      </w:r>
      <w:r w:rsidR="00020E27">
        <w:rPr>
          <w:i/>
          <w:iCs/>
        </w:rPr>
        <w:noBreakHyphen/>
      </w:r>
      <w:r w:rsidR="00387ABD" w:rsidRPr="005874F7">
        <w:rPr>
          <w:i/>
          <w:iCs/>
        </w:rPr>
        <w:t>12</w:t>
      </w:r>
      <w:r w:rsidR="00020E27">
        <w:rPr>
          <w:i/>
          <w:iCs/>
        </w:rPr>
        <w:noBreakHyphen/>
      </w:r>
      <w:r w:rsidR="00387ABD" w:rsidRPr="005874F7">
        <w:rPr>
          <w:i/>
          <w:iCs/>
        </w:rPr>
        <w:t>022 to Address the Methodology for Calculating an Annual Step-down in Incentives for the Solar on Multifamily Affordable Housing Program</w:t>
      </w:r>
      <w:r w:rsidR="00387ABD">
        <w:t>, filed September 22, 2022, at 1.</w:t>
      </w:r>
    </w:p>
  </w:footnote>
  <w:footnote w:id="10">
    <w:p w14:paraId="0E5596C6" w14:textId="1369245D" w:rsidR="008C0CDD" w:rsidRDefault="008C0CDD">
      <w:pPr>
        <w:pStyle w:val="FootnoteText"/>
      </w:pPr>
      <w:r>
        <w:rPr>
          <w:rStyle w:val="FootnoteReference"/>
        </w:rPr>
        <w:footnoteRef/>
      </w:r>
      <w:r>
        <w:t xml:space="preserve"> </w:t>
      </w:r>
      <w:r w:rsidR="004300AC" w:rsidRPr="004300AC">
        <w:t>A</w:t>
      </w:r>
      <w:r w:rsidR="004300AC">
        <w:t xml:space="preserve">dvice </w:t>
      </w:r>
      <w:r w:rsidR="004300AC" w:rsidRPr="004300AC">
        <w:t>L</w:t>
      </w:r>
      <w:r w:rsidR="004300AC">
        <w:t>etter</w:t>
      </w:r>
      <w:r w:rsidR="004300AC" w:rsidRPr="004300AC">
        <w:t xml:space="preserve"> 133-E/133-E-A</w:t>
      </w:r>
      <w:r w:rsidR="00E23B16">
        <w:t>, disposed on April 27, 2022,</w:t>
      </w:r>
      <w:r w:rsidR="004300AC" w:rsidRPr="004300AC">
        <w:t xml:space="preserve"> </w:t>
      </w:r>
      <w:r w:rsidR="004300AC">
        <w:t>proposed a voluntary benchmark</w:t>
      </w:r>
      <w:r w:rsidR="00E23B16">
        <w:t xml:space="preserve"> of </w:t>
      </w:r>
      <w:r w:rsidR="00E23B16" w:rsidRPr="00E23B16">
        <w:t>40</w:t>
      </w:r>
      <w:r w:rsidR="00020E27">
        <w:t> </w:t>
      </w:r>
      <w:r w:rsidR="00E23B16" w:rsidRPr="00E23B16">
        <w:t>percent of capacity installed in disadvantaged communities</w:t>
      </w:r>
      <w:r w:rsidR="00E23B16">
        <w:t>.</w:t>
      </w:r>
    </w:p>
  </w:footnote>
  <w:footnote w:id="11">
    <w:p w14:paraId="1BC4151D" w14:textId="0DFF7CA6" w:rsidR="009F7F1D" w:rsidRDefault="009F7F1D" w:rsidP="009F7F1D">
      <w:pPr>
        <w:pStyle w:val="FootnoteText"/>
      </w:pPr>
      <w:r>
        <w:rPr>
          <w:rStyle w:val="FootnoteReference"/>
        </w:rPr>
        <w:footnoteRef/>
      </w:r>
      <w:r>
        <w:t xml:space="preserve"> </w:t>
      </w:r>
      <w:r w:rsidRPr="00081482">
        <w:t xml:space="preserve">Rules of Practice and Procedure, Rule 16.4; </w:t>
      </w:r>
      <w:r>
        <w:rPr>
          <w:i/>
          <w:iCs/>
        </w:rPr>
        <w:t>S</w:t>
      </w:r>
      <w:r w:rsidRPr="00603B55">
        <w:rPr>
          <w:i/>
          <w:iCs/>
        </w:rPr>
        <w:t xml:space="preserve">ee </w:t>
      </w:r>
      <w:r w:rsidRPr="00020E27">
        <w:rPr>
          <w:i/>
          <w:iCs/>
        </w:rPr>
        <w:t>also</w:t>
      </w:r>
      <w:r w:rsidRPr="00081482">
        <w:t xml:space="preserve"> PG&amp;E Corp. v. Public Utilities Com.</w:t>
      </w:r>
      <w:r w:rsidRPr="00081482">
        <w:br/>
        <w:t>(2004) 118 Cal.App.4th 1174, 1215 [California Pub</w:t>
      </w:r>
      <w:r>
        <w:t>. Util.</w:t>
      </w:r>
      <w:r w:rsidRPr="00081482">
        <w:t xml:space="preserve"> Code Section</w:t>
      </w:r>
      <w:r w:rsidR="00020E27">
        <w:t> </w:t>
      </w:r>
      <w:r w:rsidRPr="00081482">
        <w:t>1708, which</w:t>
      </w:r>
      <w:r w:rsidR="00020E27">
        <w:t xml:space="preserve"> </w:t>
      </w:r>
      <w:r w:rsidRPr="00081482">
        <w:t>authorizes</w:t>
      </w:r>
      <w:r w:rsidR="00020E27">
        <w:br/>
      </w:r>
      <w:r w:rsidRPr="00081482">
        <w:t>the Commission to “rescind, alter, or amend any order or decision made by it,” is</w:t>
      </w:r>
      <w:r w:rsidR="00020E27">
        <w:t xml:space="preserve"> </w:t>
      </w:r>
      <w:r w:rsidRPr="00081482">
        <w:t xml:space="preserve">permissive]. </w:t>
      </w:r>
      <w:r w:rsidRPr="00020E27">
        <w:rPr>
          <w:i/>
          <w:iCs/>
        </w:rPr>
        <w:t>See</w:t>
      </w:r>
      <w:r w:rsidR="00020E27" w:rsidRPr="00020E27">
        <w:rPr>
          <w:i/>
          <w:iCs/>
        </w:rPr>
        <w:t> </w:t>
      </w:r>
      <w:r w:rsidRPr="00020E27">
        <w:rPr>
          <w:i/>
          <w:iCs/>
        </w:rPr>
        <w:t>also</w:t>
      </w:r>
      <w:r w:rsidRPr="00081482">
        <w:t xml:space="preserve"> 2017 Cal. PUC LEXIS 514, at 7; 1998 Cal. PUC LEXIS 658, at 2: </w:t>
      </w:r>
      <w:r>
        <w:t xml:space="preserve"> </w:t>
      </w:r>
      <w:r w:rsidRPr="00081482">
        <w:t>The</w:t>
      </w:r>
      <w:r w:rsidR="00020E27">
        <w:t xml:space="preserve"> </w:t>
      </w:r>
      <w:r w:rsidRPr="00081482">
        <w:t>Commission’s exercise of authority under Pub</w:t>
      </w:r>
      <w:r>
        <w:t>. Util.</w:t>
      </w:r>
      <w:r w:rsidRPr="00081482">
        <w:t xml:space="preserve"> Code Section</w:t>
      </w:r>
      <w:r w:rsidR="00020E27">
        <w:t> </w:t>
      </w:r>
      <w:r w:rsidRPr="00081482">
        <w:t>1708 is an</w:t>
      </w:r>
      <w:r w:rsidR="00020E27">
        <w:t xml:space="preserve"> </w:t>
      </w:r>
      <w:r w:rsidRPr="00081482">
        <w:t>“’extraordinary remedy’ that</w:t>
      </w:r>
      <w:r w:rsidR="00020E27">
        <w:br/>
      </w:r>
      <w:r w:rsidRPr="00081482">
        <w:t>must be ‘sparingly and carefully applied.’”</w:t>
      </w:r>
    </w:p>
  </w:footnote>
  <w:footnote w:id="12">
    <w:p w14:paraId="0E73C227" w14:textId="65AE1E4F" w:rsidR="00955645" w:rsidRDefault="00955645">
      <w:pPr>
        <w:pStyle w:val="FootnoteText"/>
      </w:pPr>
      <w:r>
        <w:rPr>
          <w:rStyle w:val="FootnoteReference"/>
        </w:rPr>
        <w:footnoteRef/>
      </w:r>
      <w:r>
        <w:t xml:space="preserve"> D.17-12-022 Appendix B, at 2.</w:t>
      </w:r>
    </w:p>
  </w:footnote>
  <w:footnote w:id="13">
    <w:p w14:paraId="7972157C" w14:textId="62C1D569" w:rsidR="00452CB9" w:rsidRDefault="00452CB9">
      <w:pPr>
        <w:pStyle w:val="FootnoteText"/>
      </w:pPr>
      <w:r>
        <w:rPr>
          <w:rStyle w:val="FootnoteReference"/>
        </w:rPr>
        <w:footnoteRef/>
      </w:r>
      <w:r>
        <w:t xml:space="preserve"> </w:t>
      </w:r>
      <w:r w:rsidR="00A6336D">
        <w:t>Petition</w:t>
      </w:r>
      <w:r w:rsidR="004C4982">
        <w:t xml:space="preserve">, </w:t>
      </w:r>
      <w:r w:rsidR="00A6336D">
        <w:t xml:space="preserve">at 9 </w:t>
      </w:r>
      <w:r w:rsidR="004C4982">
        <w:t>‘</w:t>
      </w:r>
      <w:r w:rsidR="004C4982" w:rsidRPr="004C4982">
        <w:t>Figure 1 SOMAH Application Submissions since Program Opening</w:t>
      </w:r>
      <w:r w:rsidR="004C4982">
        <w:t>’</w:t>
      </w:r>
      <w:r w:rsidR="007629AA">
        <w:t>.</w:t>
      </w:r>
      <w:r w:rsidR="004C4982">
        <w:t xml:space="preserve"> </w:t>
      </w:r>
    </w:p>
  </w:footnote>
  <w:footnote w:id="14">
    <w:p w14:paraId="29213266" w14:textId="6612AC50" w:rsidR="00E177DD" w:rsidRDefault="00E177DD">
      <w:pPr>
        <w:pStyle w:val="FootnoteText"/>
      </w:pPr>
      <w:r>
        <w:rPr>
          <w:rStyle w:val="FootnoteReference"/>
        </w:rPr>
        <w:footnoteRef/>
      </w:r>
      <w:r>
        <w:t xml:space="preserve"> SOMAH Semi-Annual Progress Report January 2023, available at: </w:t>
      </w:r>
      <w:r w:rsidR="007D5D3B" w:rsidRPr="007D5D3B">
        <w:t>https://www.cpuc.ca.gov/somah#ProgramSAR</w:t>
      </w:r>
    </w:p>
  </w:footnote>
  <w:footnote w:id="15">
    <w:p w14:paraId="6A898BC9" w14:textId="7BDC32E3" w:rsidR="00D2670D" w:rsidRDefault="00D2670D">
      <w:pPr>
        <w:pStyle w:val="FootnoteText"/>
      </w:pPr>
      <w:r>
        <w:rPr>
          <w:rStyle w:val="FootnoteReference"/>
        </w:rPr>
        <w:footnoteRef/>
      </w:r>
      <w:r>
        <w:t xml:space="preserve"> </w:t>
      </w:r>
      <w:r w:rsidR="006700D1" w:rsidRPr="00020E27">
        <w:rPr>
          <w:i/>
          <w:iCs/>
        </w:rPr>
        <w:t>See</w:t>
      </w:r>
      <w:r w:rsidR="006700D1">
        <w:t xml:space="preserve"> D.17-12-022, Appe</w:t>
      </w:r>
      <w:r w:rsidR="002068FC">
        <w:t>ndix B</w:t>
      </w:r>
      <w:r w:rsidR="00B86AEC">
        <w:t xml:space="preserve"> </w:t>
      </w:r>
      <w:r w:rsidR="001C35B3">
        <w:t>at</w:t>
      </w:r>
      <w:r w:rsidR="00B86AEC">
        <w:t xml:space="preserve"> </w:t>
      </w:r>
      <w:r w:rsidR="00C6589A">
        <w:t>4</w:t>
      </w:r>
      <w:r w:rsidR="002E1F0D">
        <w:t>.</w:t>
      </w:r>
    </w:p>
  </w:footnote>
  <w:footnote w:id="16">
    <w:p w14:paraId="366B1DD4" w14:textId="38C7AA69" w:rsidR="00E55B9E" w:rsidRDefault="00E55B9E" w:rsidP="00E55B9E">
      <w:pPr>
        <w:pStyle w:val="FootnoteText"/>
      </w:pPr>
      <w:r>
        <w:rPr>
          <w:rStyle w:val="FootnoteReference"/>
        </w:rPr>
        <w:footnoteRef/>
      </w:r>
      <w:r>
        <w:t xml:space="preserve"> Pub</w:t>
      </w:r>
      <w:r w:rsidR="0070563D">
        <w:t>.</w:t>
      </w:r>
      <w:r>
        <w:t xml:space="preserve"> Util</w:t>
      </w:r>
      <w:r w:rsidR="0070563D">
        <w:t>.</w:t>
      </w:r>
      <w:r>
        <w:t xml:space="preserve"> Code </w:t>
      </w:r>
      <w:r w:rsidR="0070563D">
        <w:t>S</w:t>
      </w:r>
      <w:r>
        <w:t>ection</w:t>
      </w:r>
      <w:r w:rsidR="0070563D">
        <w:t> </w:t>
      </w:r>
      <w:r>
        <w:t xml:space="preserve">2870(f)(4): </w:t>
      </w:r>
      <w:r w:rsidR="003507A5">
        <w:t>“</w:t>
      </w:r>
      <w:r w:rsidR="006054CE" w:rsidRPr="006054CE">
        <w:t>The commission shall ensure that incentive levels for photovoltaic installations receiving incentives through the program are aligned with the installation costs for solar energy systems in affordable housing markets and take account of federal investment tax credits and contributions from other sources to the extent feasible.</w:t>
      </w:r>
      <w:r w:rsidR="003507A5">
        <w:t>”</w:t>
      </w:r>
    </w:p>
  </w:footnote>
  <w:footnote w:id="17">
    <w:p w14:paraId="470F0F13" w14:textId="0BBBEF3F" w:rsidR="00EB11E1" w:rsidRDefault="00EB11E1">
      <w:pPr>
        <w:pStyle w:val="FootnoteText"/>
      </w:pPr>
      <w:r>
        <w:rPr>
          <w:rStyle w:val="FootnoteReference"/>
        </w:rPr>
        <w:footnoteRef/>
      </w:r>
      <w:r>
        <w:t xml:space="preserve"> </w:t>
      </w:r>
      <w:r w:rsidR="00D303BB">
        <w:t>D.13-08-004</w:t>
      </w:r>
      <w:r w:rsidR="00A94B6D">
        <w:t xml:space="preserve"> </w:t>
      </w:r>
      <w:r w:rsidR="00D303BB" w:rsidRPr="00D303BB">
        <w:t xml:space="preserve">declined to impose a total incentive cap, at 50 percent of total project costs, but permitted the program administrators to request to reduce the incentive amount via </w:t>
      </w:r>
      <w:r w:rsidR="002A6FF2">
        <w:t>A</w:t>
      </w:r>
      <w:r w:rsidR="00D303BB" w:rsidRPr="00D303BB">
        <w:t xml:space="preserve">dvice </w:t>
      </w:r>
      <w:r w:rsidR="002A6FF2">
        <w:t>L</w:t>
      </w:r>
      <w:r w:rsidR="00D303BB" w:rsidRPr="00D303BB">
        <w:t>etter</w:t>
      </w:r>
      <w:r w:rsidR="00D00E7C">
        <w:t xml:space="preserve"> “if it is determined that solar pool heating system incentives are too high” </w:t>
      </w:r>
      <w:r w:rsidR="00A94B6D">
        <w:t xml:space="preserve">D.13-08-004, </w:t>
      </w:r>
      <w:r w:rsidR="00D00E7C">
        <w:t>at 18</w:t>
      </w:r>
      <w:r w:rsidR="00A94B6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D2F7" w14:textId="15AB27A9" w:rsidR="002A6FF2" w:rsidRPr="002A6FF2" w:rsidRDefault="002A6FF2" w:rsidP="00B3087D">
    <w:pPr>
      <w:pStyle w:val="Header"/>
      <w:tabs>
        <w:tab w:val="clear" w:pos="4680"/>
      </w:tabs>
      <w:ind w:firstLine="0"/>
      <w:rPr>
        <w:b/>
      </w:rPr>
    </w:pPr>
    <w:r>
      <w:t xml:space="preserve">R.14-07-002, </w:t>
    </w:r>
    <w:r w:rsidRPr="002A6FF2">
      <w:t>et al</w:t>
    </w:r>
    <w:r>
      <w:rPr>
        <w:i/>
        <w:iCs/>
      </w:rPr>
      <w:t xml:space="preserve">.  </w:t>
    </w:r>
    <w:r>
      <w:t>ALJ/VUK/jnf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B4255A"/>
    <w:multiLevelType w:val="hybridMultilevel"/>
    <w:tmpl w:val="7ABE5CFE"/>
    <w:lvl w:ilvl="0" w:tplc="D7DEFC8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46C1C14"/>
    <w:multiLevelType w:val="multilevel"/>
    <w:tmpl w:val="18F4A5AC"/>
    <w:styleLink w:val="FoFCoLOP"/>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3" w15:restartNumberingAfterBreak="0">
    <w:nsid w:val="15F056CB"/>
    <w:multiLevelType w:val="multilevel"/>
    <w:tmpl w:val="18F4A5AC"/>
    <w:numStyleLink w:val="FoFCoLOP"/>
  </w:abstractNum>
  <w:abstractNum w:abstractNumId="4"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70038F"/>
    <w:multiLevelType w:val="multilevel"/>
    <w:tmpl w:val="3C526EDE"/>
    <w:numStyleLink w:val="Headings"/>
  </w:abstractNum>
  <w:abstractNum w:abstractNumId="6" w15:restartNumberingAfterBreak="0">
    <w:nsid w:val="1E2242C9"/>
    <w:multiLevelType w:val="multilevel"/>
    <w:tmpl w:val="3C526EDE"/>
    <w:numStyleLink w:val="Headings"/>
  </w:abstractNum>
  <w:abstractNum w:abstractNumId="7" w15:restartNumberingAfterBreak="0">
    <w:nsid w:val="21FB58FE"/>
    <w:multiLevelType w:val="multilevel"/>
    <w:tmpl w:val="3C526EDE"/>
    <w:numStyleLink w:val="Headings"/>
  </w:abstractNum>
  <w:abstractNum w:abstractNumId="8" w15:restartNumberingAfterBreak="0">
    <w:nsid w:val="243663A0"/>
    <w:multiLevelType w:val="multilevel"/>
    <w:tmpl w:val="3C526EDE"/>
    <w:numStyleLink w:val="Headings"/>
  </w:abstractNum>
  <w:abstractNum w:abstractNumId="9" w15:restartNumberingAfterBreak="0">
    <w:nsid w:val="2B8124D7"/>
    <w:multiLevelType w:val="multilevel"/>
    <w:tmpl w:val="3C526EDE"/>
    <w:numStyleLink w:val="Headings"/>
  </w:abstractNum>
  <w:abstractNum w:abstractNumId="10" w15:restartNumberingAfterBreak="0">
    <w:nsid w:val="331F6D42"/>
    <w:multiLevelType w:val="multilevel"/>
    <w:tmpl w:val="3C526EDE"/>
    <w:styleLink w:val="Headings"/>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1" w15:restartNumberingAfterBreak="0">
    <w:nsid w:val="59D042D7"/>
    <w:multiLevelType w:val="multilevel"/>
    <w:tmpl w:val="18F4A5AC"/>
    <w:numStyleLink w:val="FoFCoLOP"/>
  </w:abstractNum>
  <w:abstractNum w:abstractNumId="12" w15:restartNumberingAfterBreak="0">
    <w:nsid w:val="5A9E2171"/>
    <w:multiLevelType w:val="multilevel"/>
    <w:tmpl w:val="3C526EDE"/>
    <w:numStyleLink w:val="Headings"/>
  </w:abstractNum>
  <w:abstractNum w:abstractNumId="13" w15:restartNumberingAfterBreak="0">
    <w:nsid w:val="61A25780"/>
    <w:multiLevelType w:val="multilevel"/>
    <w:tmpl w:val="3C526EDE"/>
    <w:numStyleLink w:val="Headings"/>
  </w:abstractNum>
  <w:abstractNum w:abstractNumId="14"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89A0AFE"/>
    <w:multiLevelType w:val="multilevel"/>
    <w:tmpl w:val="18F4A5AC"/>
    <w:numStyleLink w:val="FoFCoLOP"/>
  </w:abstractNum>
  <w:num w:numId="1" w16cid:durableId="380400358">
    <w:abstractNumId w:val="12"/>
  </w:num>
  <w:num w:numId="2" w16cid:durableId="274606751">
    <w:abstractNumId w:val="2"/>
  </w:num>
  <w:num w:numId="3" w16cid:durableId="1097289384">
    <w:abstractNumId w:val="11"/>
  </w:num>
  <w:num w:numId="4" w16cid:durableId="2123261151">
    <w:abstractNumId w:val="3"/>
  </w:num>
  <w:num w:numId="5" w16cid:durableId="945843812">
    <w:abstractNumId w:val="15"/>
  </w:num>
  <w:num w:numId="6" w16cid:durableId="2107991019">
    <w:abstractNumId w:val="10"/>
  </w:num>
  <w:num w:numId="7" w16cid:durableId="1004670278">
    <w:abstractNumId w:val="6"/>
  </w:num>
  <w:num w:numId="8" w16cid:durableId="1184828435">
    <w:abstractNumId w:val="14"/>
  </w:num>
  <w:num w:numId="9" w16cid:durableId="1954437562">
    <w:abstractNumId w:val="0"/>
  </w:num>
  <w:num w:numId="10" w16cid:durableId="2073769593">
    <w:abstractNumId w:val="5"/>
  </w:num>
  <w:num w:numId="11" w16cid:durableId="976884690">
    <w:abstractNumId w:val="7"/>
  </w:num>
  <w:num w:numId="12" w16cid:durableId="565267215">
    <w:abstractNumId w:val="4"/>
  </w:num>
  <w:num w:numId="13" w16cid:durableId="1161241207">
    <w:abstractNumId w:val="8"/>
  </w:num>
  <w:num w:numId="14" w16cid:durableId="1376927748">
    <w:abstractNumId w:val="9"/>
  </w:num>
  <w:num w:numId="15" w16cid:durableId="76249577">
    <w:abstractNumId w:val="13"/>
  </w:num>
  <w:num w:numId="16" w16cid:durableId="20799391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830765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3D"/>
    <w:rsid w:val="00000F6A"/>
    <w:rsid w:val="00001DE1"/>
    <w:rsid w:val="00002D22"/>
    <w:rsid w:val="00003BBC"/>
    <w:rsid w:val="00005A84"/>
    <w:rsid w:val="00011078"/>
    <w:rsid w:val="000121F0"/>
    <w:rsid w:val="00015315"/>
    <w:rsid w:val="00016EB7"/>
    <w:rsid w:val="00017F65"/>
    <w:rsid w:val="000200BC"/>
    <w:rsid w:val="00020E27"/>
    <w:rsid w:val="000240AB"/>
    <w:rsid w:val="00024E80"/>
    <w:rsid w:val="00025C2C"/>
    <w:rsid w:val="00030CCB"/>
    <w:rsid w:val="000324ED"/>
    <w:rsid w:val="00035784"/>
    <w:rsid w:val="00036DF2"/>
    <w:rsid w:val="0004018F"/>
    <w:rsid w:val="00040447"/>
    <w:rsid w:val="00041115"/>
    <w:rsid w:val="000417AA"/>
    <w:rsid w:val="000418B6"/>
    <w:rsid w:val="00042A81"/>
    <w:rsid w:val="0004555B"/>
    <w:rsid w:val="000461B8"/>
    <w:rsid w:val="00046556"/>
    <w:rsid w:val="00046599"/>
    <w:rsid w:val="00047104"/>
    <w:rsid w:val="000473CF"/>
    <w:rsid w:val="000474B8"/>
    <w:rsid w:val="00050F96"/>
    <w:rsid w:val="0005224D"/>
    <w:rsid w:val="000522F0"/>
    <w:rsid w:val="000605C0"/>
    <w:rsid w:val="0006163A"/>
    <w:rsid w:val="00062833"/>
    <w:rsid w:val="00063AD7"/>
    <w:rsid w:val="00066ABD"/>
    <w:rsid w:val="0007115A"/>
    <w:rsid w:val="00073904"/>
    <w:rsid w:val="00073D65"/>
    <w:rsid w:val="00074538"/>
    <w:rsid w:val="00075DEF"/>
    <w:rsid w:val="00077124"/>
    <w:rsid w:val="00077668"/>
    <w:rsid w:val="00080CE5"/>
    <w:rsid w:val="00082383"/>
    <w:rsid w:val="00086A9E"/>
    <w:rsid w:val="00087630"/>
    <w:rsid w:val="00091DC8"/>
    <w:rsid w:val="00092972"/>
    <w:rsid w:val="00093182"/>
    <w:rsid w:val="000948C2"/>
    <w:rsid w:val="00094CEF"/>
    <w:rsid w:val="000973C8"/>
    <w:rsid w:val="000A2AA9"/>
    <w:rsid w:val="000A5039"/>
    <w:rsid w:val="000A56F2"/>
    <w:rsid w:val="000A5CCE"/>
    <w:rsid w:val="000A6E05"/>
    <w:rsid w:val="000B12FA"/>
    <w:rsid w:val="000B1482"/>
    <w:rsid w:val="000B24D9"/>
    <w:rsid w:val="000B421A"/>
    <w:rsid w:val="000B4A86"/>
    <w:rsid w:val="000B4FE8"/>
    <w:rsid w:val="000B7C5F"/>
    <w:rsid w:val="000C08BF"/>
    <w:rsid w:val="000C1D05"/>
    <w:rsid w:val="000C2232"/>
    <w:rsid w:val="000C3B9A"/>
    <w:rsid w:val="000C6AE1"/>
    <w:rsid w:val="000C791E"/>
    <w:rsid w:val="000D05DD"/>
    <w:rsid w:val="000D25A8"/>
    <w:rsid w:val="000D35FE"/>
    <w:rsid w:val="000D441E"/>
    <w:rsid w:val="000D4DD0"/>
    <w:rsid w:val="000D58C8"/>
    <w:rsid w:val="000D72DE"/>
    <w:rsid w:val="000E270A"/>
    <w:rsid w:val="000E4103"/>
    <w:rsid w:val="000E4514"/>
    <w:rsid w:val="000E4C53"/>
    <w:rsid w:val="000E6CB2"/>
    <w:rsid w:val="000E714B"/>
    <w:rsid w:val="000F0940"/>
    <w:rsid w:val="000F0F32"/>
    <w:rsid w:val="000F1238"/>
    <w:rsid w:val="000F6168"/>
    <w:rsid w:val="000F7401"/>
    <w:rsid w:val="000F7535"/>
    <w:rsid w:val="00100D50"/>
    <w:rsid w:val="0010232B"/>
    <w:rsid w:val="0010726C"/>
    <w:rsid w:val="0011024D"/>
    <w:rsid w:val="0011187E"/>
    <w:rsid w:val="0011227C"/>
    <w:rsid w:val="00113B9B"/>
    <w:rsid w:val="00114178"/>
    <w:rsid w:val="00115898"/>
    <w:rsid w:val="00115E0A"/>
    <w:rsid w:val="00117AA9"/>
    <w:rsid w:val="00121089"/>
    <w:rsid w:val="001212F5"/>
    <w:rsid w:val="00123625"/>
    <w:rsid w:val="00123898"/>
    <w:rsid w:val="00123E00"/>
    <w:rsid w:val="00125999"/>
    <w:rsid w:val="00127630"/>
    <w:rsid w:val="00132582"/>
    <w:rsid w:val="00137974"/>
    <w:rsid w:val="00141595"/>
    <w:rsid w:val="001431A6"/>
    <w:rsid w:val="001442FA"/>
    <w:rsid w:val="00145D38"/>
    <w:rsid w:val="00150309"/>
    <w:rsid w:val="001503A1"/>
    <w:rsid w:val="00153CF2"/>
    <w:rsid w:val="001557B7"/>
    <w:rsid w:val="00157221"/>
    <w:rsid w:val="00161E8A"/>
    <w:rsid w:val="0016396A"/>
    <w:rsid w:val="00165767"/>
    <w:rsid w:val="00166374"/>
    <w:rsid w:val="00167CF7"/>
    <w:rsid w:val="00167F7E"/>
    <w:rsid w:val="001705BC"/>
    <w:rsid w:val="001715DC"/>
    <w:rsid w:val="001717E5"/>
    <w:rsid w:val="00171AE9"/>
    <w:rsid w:val="00175C33"/>
    <w:rsid w:val="00175FFC"/>
    <w:rsid w:val="00177260"/>
    <w:rsid w:val="001816D7"/>
    <w:rsid w:val="0018193E"/>
    <w:rsid w:val="0018220A"/>
    <w:rsid w:val="00182587"/>
    <w:rsid w:val="00183065"/>
    <w:rsid w:val="0018581C"/>
    <w:rsid w:val="001948C9"/>
    <w:rsid w:val="00195D78"/>
    <w:rsid w:val="001A1A0A"/>
    <w:rsid w:val="001A25B6"/>
    <w:rsid w:val="001A35CF"/>
    <w:rsid w:val="001A43B8"/>
    <w:rsid w:val="001A63A3"/>
    <w:rsid w:val="001A6B46"/>
    <w:rsid w:val="001A6E8F"/>
    <w:rsid w:val="001A756A"/>
    <w:rsid w:val="001B0EED"/>
    <w:rsid w:val="001B1DBB"/>
    <w:rsid w:val="001B42D4"/>
    <w:rsid w:val="001B567E"/>
    <w:rsid w:val="001B59CE"/>
    <w:rsid w:val="001C1D46"/>
    <w:rsid w:val="001C35B3"/>
    <w:rsid w:val="001C363F"/>
    <w:rsid w:val="001C40E0"/>
    <w:rsid w:val="001C5091"/>
    <w:rsid w:val="001D3D3C"/>
    <w:rsid w:val="001D439C"/>
    <w:rsid w:val="001D4C35"/>
    <w:rsid w:val="001D54A8"/>
    <w:rsid w:val="001E1C03"/>
    <w:rsid w:val="001E24E7"/>
    <w:rsid w:val="001E2A62"/>
    <w:rsid w:val="001E4A37"/>
    <w:rsid w:val="001E6ED2"/>
    <w:rsid w:val="001F1BFE"/>
    <w:rsid w:val="001F2029"/>
    <w:rsid w:val="001F2819"/>
    <w:rsid w:val="001F3ABD"/>
    <w:rsid w:val="001F73A1"/>
    <w:rsid w:val="002018E9"/>
    <w:rsid w:val="002039A7"/>
    <w:rsid w:val="00203D72"/>
    <w:rsid w:val="002043EC"/>
    <w:rsid w:val="002048D3"/>
    <w:rsid w:val="00205591"/>
    <w:rsid w:val="00205638"/>
    <w:rsid w:val="0020657E"/>
    <w:rsid w:val="002068FC"/>
    <w:rsid w:val="00206C7F"/>
    <w:rsid w:val="002104F0"/>
    <w:rsid w:val="00210A5E"/>
    <w:rsid w:val="00211F45"/>
    <w:rsid w:val="002127FD"/>
    <w:rsid w:val="002159A4"/>
    <w:rsid w:val="00217518"/>
    <w:rsid w:val="00220511"/>
    <w:rsid w:val="00220E3D"/>
    <w:rsid w:val="00221E37"/>
    <w:rsid w:val="00225450"/>
    <w:rsid w:val="00227576"/>
    <w:rsid w:val="002300BD"/>
    <w:rsid w:val="00232289"/>
    <w:rsid w:val="00233AA7"/>
    <w:rsid w:val="00233EEA"/>
    <w:rsid w:val="00235D91"/>
    <w:rsid w:val="00237C89"/>
    <w:rsid w:val="00241735"/>
    <w:rsid w:val="00243DC0"/>
    <w:rsid w:val="0024418B"/>
    <w:rsid w:val="00247477"/>
    <w:rsid w:val="00251333"/>
    <w:rsid w:val="0025465A"/>
    <w:rsid w:val="00255DE1"/>
    <w:rsid w:val="00260B5B"/>
    <w:rsid w:val="00261233"/>
    <w:rsid w:val="0026152E"/>
    <w:rsid w:val="00263708"/>
    <w:rsid w:val="00264FF9"/>
    <w:rsid w:val="00265209"/>
    <w:rsid w:val="002662D4"/>
    <w:rsid w:val="0026663D"/>
    <w:rsid w:val="00270440"/>
    <w:rsid w:val="00270D05"/>
    <w:rsid w:val="00272E77"/>
    <w:rsid w:val="00273767"/>
    <w:rsid w:val="0028079D"/>
    <w:rsid w:val="002824E1"/>
    <w:rsid w:val="00287BC5"/>
    <w:rsid w:val="00290C9F"/>
    <w:rsid w:val="00290F46"/>
    <w:rsid w:val="002914D5"/>
    <w:rsid w:val="002922E4"/>
    <w:rsid w:val="00292D11"/>
    <w:rsid w:val="00293DEE"/>
    <w:rsid w:val="0029488D"/>
    <w:rsid w:val="00296A01"/>
    <w:rsid w:val="002A01B0"/>
    <w:rsid w:val="002A0B0A"/>
    <w:rsid w:val="002A0B5D"/>
    <w:rsid w:val="002A1773"/>
    <w:rsid w:val="002A25C9"/>
    <w:rsid w:val="002A43EB"/>
    <w:rsid w:val="002A4858"/>
    <w:rsid w:val="002A6D89"/>
    <w:rsid w:val="002A6FF2"/>
    <w:rsid w:val="002A7469"/>
    <w:rsid w:val="002B0609"/>
    <w:rsid w:val="002B2AD1"/>
    <w:rsid w:val="002B2AD9"/>
    <w:rsid w:val="002B305E"/>
    <w:rsid w:val="002B3C16"/>
    <w:rsid w:val="002B46E2"/>
    <w:rsid w:val="002B470D"/>
    <w:rsid w:val="002B6103"/>
    <w:rsid w:val="002C23FE"/>
    <w:rsid w:val="002C31BE"/>
    <w:rsid w:val="002C355C"/>
    <w:rsid w:val="002C5EA1"/>
    <w:rsid w:val="002C7FE9"/>
    <w:rsid w:val="002D0DC5"/>
    <w:rsid w:val="002D45BF"/>
    <w:rsid w:val="002D4D56"/>
    <w:rsid w:val="002D4EFD"/>
    <w:rsid w:val="002E009E"/>
    <w:rsid w:val="002E1F0D"/>
    <w:rsid w:val="002E1FC0"/>
    <w:rsid w:val="002E32D9"/>
    <w:rsid w:val="002E43D0"/>
    <w:rsid w:val="002E4425"/>
    <w:rsid w:val="002F0643"/>
    <w:rsid w:val="002F06AB"/>
    <w:rsid w:val="002F09B4"/>
    <w:rsid w:val="002F25C6"/>
    <w:rsid w:val="0030111D"/>
    <w:rsid w:val="00302137"/>
    <w:rsid w:val="00302EBD"/>
    <w:rsid w:val="00302F73"/>
    <w:rsid w:val="003032E7"/>
    <w:rsid w:val="00306B73"/>
    <w:rsid w:val="0031139B"/>
    <w:rsid w:val="003113A8"/>
    <w:rsid w:val="00311A29"/>
    <w:rsid w:val="00314347"/>
    <w:rsid w:val="00315A97"/>
    <w:rsid w:val="00316071"/>
    <w:rsid w:val="003166EC"/>
    <w:rsid w:val="00321E87"/>
    <w:rsid w:val="00323276"/>
    <w:rsid w:val="00324413"/>
    <w:rsid w:val="00326293"/>
    <w:rsid w:val="003270D3"/>
    <w:rsid w:val="00327195"/>
    <w:rsid w:val="00327D98"/>
    <w:rsid w:val="003308C7"/>
    <w:rsid w:val="00330CD4"/>
    <w:rsid w:val="003350B1"/>
    <w:rsid w:val="00335FB7"/>
    <w:rsid w:val="0033626E"/>
    <w:rsid w:val="00337D74"/>
    <w:rsid w:val="00343E5C"/>
    <w:rsid w:val="00344304"/>
    <w:rsid w:val="00344FB8"/>
    <w:rsid w:val="003452E6"/>
    <w:rsid w:val="00345F11"/>
    <w:rsid w:val="003507A5"/>
    <w:rsid w:val="00351ED0"/>
    <w:rsid w:val="00352E1F"/>
    <w:rsid w:val="0036017B"/>
    <w:rsid w:val="00362755"/>
    <w:rsid w:val="00364860"/>
    <w:rsid w:val="00365001"/>
    <w:rsid w:val="003656E9"/>
    <w:rsid w:val="00365D97"/>
    <w:rsid w:val="00370164"/>
    <w:rsid w:val="00373B93"/>
    <w:rsid w:val="0037739D"/>
    <w:rsid w:val="00377A7B"/>
    <w:rsid w:val="00380CD1"/>
    <w:rsid w:val="00381403"/>
    <w:rsid w:val="00382B76"/>
    <w:rsid w:val="00387ABD"/>
    <w:rsid w:val="00390841"/>
    <w:rsid w:val="00390FA1"/>
    <w:rsid w:val="003916D4"/>
    <w:rsid w:val="0039436B"/>
    <w:rsid w:val="0039459C"/>
    <w:rsid w:val="00394C8A"/>
    <w:rsid w:val="003A38F0"/>
    <w:rsid w:val="003A3957"/>
    <w:rsid w:val="003B04D6"/>
    <w:rsid w:val="003B1648"/>
    <w:rsid w:val="003B2B7B"/>
    <w:rsid w:val="003B5751"/>
    <w:rsid w:val="003B7B50"/>
    <w:rsid w:val="003C3F3F"/>
    <w:rsid w:val="003C476F"/>
    <w:rsid w:val="003C4830"/>
    <w:rsid w:val="003D299D"/>
    <w:rsid w:val="003D45AF"/>
    <w:rsid w:val="003D4A19"/>
    <w:rsid w:val="003D5634"/>
    <w:rsid w:val="003E1730"/>
    <w:rsid w:val="003E1781"/>
    <w:rsid w:val="003E3E08"/>
    <w:rsid w:val="003E54A4"/>
    <w:rsid w:val="003E7546"/>
    <w:rsid w:val="003E79E1"/>
    <w:rsid w:val="003E79F2"/>
    <w:rsid w:val="003F022F"/>
    <w:rsid w:val="003F069A"/>
    <w:rsid w:val="003F19A7"/>
    <w:rsid w:val="003F1E59"/>
    <w:rsid w:val="003F4329"/>
    <w:rsid w:val="003F4C3F"/>
    <w:rsid w:val="0040045F"/>
    <w:rsid w:val="0040231E"/>
    <w:rsid w:val="00410C89"/>
    <w:rsid w:val="00410DD5"/>
    <w:rsid w:val="00412339"/>
    <w:rsid w:val="00412534"/>
    <w:rsid w:val="00412C83"/>
    <w:rsid w:val="00414C72"/>
    <w:rsid w:val="00415EC2"/>
    <w:rsid w:val="00416B3D"/>
    <w:rsid w:val="00420566"/>
    <w:rsid w:val="00421C6C"/>
    <w:rsid w:val="00424E96"/>
    <w:rsid w:val="00426014"/>
    <w:rsid w:val="004274DA"/>
    <w:rsid w:val="00427BC5"/>
    <w:rsid w:val="004300AC"/>
    <w:rsid w:val="004312CF"/>
    <w:rsid w:val="00431659"/>
    <w:rsid w:val="00432DF0"/>
    <w:rsid w:val="00434381"/>
    <w:rsid w:val="00436947"/>
    <w:rsid w:val="00440F6B"/>
    <w:rsid w:val="0044181B"/>
    <w:rsid w:val="00442A99"/>
    <w:rsid w:val="004432DD"/>
    <w:rsid w:val="00445A98"/>
    <w:rsid w:val="0044617E"/>
    <w:rsid w:val="00452CB9"/>
    <w:rsid w:val="00455814"/>
    <w:rsid w:val="00456FA1"/>
    <w:rsid w:val="00460B7D"/>
    <w:rsid w:val="0046205F"/>
    <w:rsid w:val="00467D91"/>
    <w:rsid w:val="00472737"/>
    <w:rsid w:val="00474254"/>
    <w:rsid w:val="00474E62"/>
    <w:rsid w:val="00480443"/>
    <w:rsid w:val="00480B52"/>
    <w:rsid w:val="00480CB0"/>
    <w:rsid w:val="00480E1B"/>
    <w:rsid w:val="00482D55"/>
    <w:rsid w:val="004830C1"/>
    <w:rsid w:val="00490F7E"/>
    <w:rsid w:val="004A1C1E"/>
    <w:rsid w:val="004A2DD6"/>
    <w:rsid w:val="004A318D"/>
    <w:rsid w:val="004A326F"/>
    <w:rsid w:val="004A33C5"/>
    <w:rsid w:val="004A5CEE"/>
    <w:rsid w:val="004B34EA"/>
    <w:rsid w:val="004B4FC1"/>
    <w:rsid w:val="004B5494"/>
    <w:rsid w:val="004B7499"/>
    <w:rsid w:val="004B78FC"/>
    <w:rsid w:val="004C031C"/>
    <w:rsid w:val="004C28A0"/>
    <w:rsid w:val="004C4982"/>
    <w:rsid w:val="004C66CE"/>
    <w:rsid w:val="004C6B1B"/>
    <w:rsid w:val="004C6E6F"/>
    <w:rsid w:val="004C731E"/>
    <w:rsid w:val="004C7834"/>
    <w:rsid w:val="004C7A2B"/>
    <w:rsid w:val="004C7C08"/>
    <w:rsid w:val="004C7D3A"/>
    <w:rsid w:val="004D1CF4"/>
    <w:rsid w:val="004D550B"/>
    <w:rsid w:val="004E1B74"/>
    <w:rsid w:val="004E1C69"/>
    <w:rsid w:val="004E20B5"/>
    <w:rsid w:val="004E3307"/>
    <w:rsid w:val="004E3E9E"/>
    <w:rsid w:val="004E5403"/>
    <w:rsid w:val="004E6C84"/>
    <w:rsid w:val="004F0695"/>
    <w:rsid w:val="004F1567"/>
    <w:rsid w:val="004F1D05"/>
    <w:rsid w:val="004F245E"/>
    <w:rsid w:val="004F35AA"/>
    <w:rsid w:val="004F3B31"/>
    <w:rsid w:val="005018A8"/>
    <w:rsid w:val="00501BA0"/>
    <w:rsid w:val="005053BF"/>
    <w:rsid w:val="00505A39"/>
    <w:rsid w:val="00507523"/>
    <w:rsid w:val="00511CE3"/>
    <w:rsid w:val="0051218F"/>
    <w:rsid w:val="00513B44"/>
    <w:rsid w:val="00513F9E"/>
    <w:rsid w:val="0051637F"/>
    <w:rsid w:val="00517C34"/>
    <w:rsid w:val="005208B0"/>
    <w:rsid w:val="00522114"/>
    <w:rsid w:val="005240BF"/>
    <w:rsid w:val="00533B01"/>
    <w:rsid w:val="00536A5B"/>
    <w:rsid w:val="005375E5"/>
    <w:rsid w:val="005400C6"/>
    <w:rsid w:val="00540C97"/>
    <w:rsid w:val="00540F4E"/>
    <w:rsid w:val="00544B18"/>
    <w:rsid w:val="00547A04"/>
    <w:rsid w:val="00547AC7"/>
    <w:rsid w:val="00552300"/>
    <w:rsid w:val="00553540"/>
    <w:rsid w:val="00554D61"/>
    <w:rsid w:val="00557A0A"/>
    <w:rsid w:val="00560C75"/>
    <w:rsid w:val="00562CA1"/>
    <w:rsid w:val="00565B74"/>
    <w:rsid w:val="00565DE4"/>
    <w:rsid w:val="00570AAE"/>
    <w:rsid w:val="005725F2"/>
    <w:rsid w:val="00575F4C"/>
    <w:rsid w:val="00576BC6"/>
    <w:rsid w:val="00577BD8"/>
    <w:rsid w:val="00581874"/>
    <w:rsid w:val="00585390"/>
    <w:rsid w:val="005874F7"/>
    <w:rsid w:val="0059009A"/>
    <w:rsid w:val="00590672"/>
    <w:rsid w:val="00590869"/>
    <w:rsid w:val="00593021"/>
    <w:rsid w:val="005939A5"/>
    <w:rsid w:val="00594E51"/>
    <w:rsid w:val="00595376"/>
    <w:rsid w:val="005956CA"/>
    <w:rsid w:val="005A148C"/>
    <w:rsid w:val="005A4354"/>
    <w:rsid w:val="005A592B"/>
    <w:rsid w:val="005A5B54"/>
    <w:rsid w:val="005B4696"/>
    <w:rsid w:val="005B526F"/>
    <w:rsid w:val="005B5B6D"/>
    <w:rsid w:val="005C44E5"/>
    <w:rsid w:val="005C5473"/>
    <w:rsid w:val="005C58FA"/>
    <w:rsid w:val="005C6C87"/>
    <w:rsid w:val="005D126E"/>
    <w:rsid w:val="005D169B"/>
    <w:rsid w:val="005D19E2"/>
    <w:rsid w:val="005D4FC4"/>
    <w:rsid w:val="005D50BC"/>
    <w:rsid w:val="005D6B19"/>
    <w:rsid w:val="005E0732"/>
    <w:rsid w:val="005E723C"/>
    <w:rsid w:val="005E737F"/>
    <w:rsid w:val="005F18F0"/>
    <w:rsid w:val="005F237C"/>
    <w:rsid w:val="005F4546"/>
    <w:rsid w:val="005F4EF7"/>
    <w:rsid w:val="006011DB"/>
    <w:rsid w:val="00603515"/>
    <w:rsid w:val="006037F2"/>
    <w:rsid w:val="00603BEA"/>
    <w:rsid w:val="00604609"/>
    <w:rsid w:val="006054CE"/>
    <w:rsid w:val="00605DF6"/>
    <w:rsid w:val="00605E7B"/>
    <w:rsid w:val="00617C6F"/>
    <w:rsid w:val="00620C8F"/>
    <w:rsid w:val="00623C72"/>
    <w:rsid w:val="00627FE0"/>
    <w:rsid w:val="00630276"/>
    <w:rsid w:val="00631FCB"/>
    <w:rsid w:val="00632014"/>
    <w:rsid w:val="00632207"/>
    <w:rsid w:val="0063383D"/>
    <w:rsid w:val="0063491C"/>
    <w:rsid w:val="006368BC"/>
    <w:rsid w:val="0064077C"/>
    <w:rsid w:val="006446B4"/>
    <w:rsid w:val="00644FFE"/>
    <w:rsid w:val="00651392"/>
    <w:rsid w:val="006513E3"/>
    <w:rsid w:val="006515DD"/>
    <w:rsid w:val="00655732"/>
    <w:rsid w:val="0065754D"/>
    <w:rsid w:val="00660510"/>
    <w:rsid w:val="006606F0"/>
    <w:rsid w:val="00661AFE"/>
    <w:rsid w:val="006632AD"/>
    <w:rsid w:val="006634E1"/>
    <w:rsid w:val="00664195"/>
    <w:rsid w:val="00666DAD"/>
    <w:rsid w:val="006700D1"/>
    <w:rsid w:val="00670722"/>
    <w:rsid w:val="00672F3D"/>
    <w:rsid w:val="006737F4"/>
    <w:rsid w:val="00674418"/>
    <w:rsid w:val="006748E1"/>
    <w:rsid w:val="006765D2"/>
    <w:rsid w:val="00680B33"/>
    <w:rsid w:val="00680F19"/>
    <w:rsid w:val="0068181E"/>
    <w:rsid w:val="006821A1"/>
    <w:rsid w:val="00682959"/>
    <w:rsid w:val="00683245"/>
    <w:rsid w:val="00683356"/>
    <w:rsid w:val="0068531A"/>
    <w:rsid w:val="0068531C"/>
    <w:rsid w:val="0068671C"/>
    <w:rsid w:val="00687F95"/>
    <w:rsid w:val="006945F7"/>
    <w:rsid w:val="00694C2C"/>
    <w:rsid w:val="00695259"/>
    <w:rsid w:val="00695474"/>
    <w:rsid w:val="00697846"/>
    <w:rsid w:val="006A1A5C"/>
    <w:rsid w:val="006A3356"/>
    <w:rsid w:val="006A3872"/>
    <w:rsid w:val="006B2B16"/>
    <w:rsid w:val="006B2CF6"/>
    <w:rsid w:val="006B3902"/>
    <w:rsid w:val="006B702D"/>
    <w:rsid w:val="006C0259"/>
    <w:rsid w:val="006C0D27"/>
    <w:rsid w:val="006C1F10"/>
    <w:rsid w:val="006C2199"/>
    <w:rsid w:val="006C2383"/>
    <w:rsid w:val="006C3805"/>
    <w:rsid w:val="006C4BAA"/>
    <w:rsid w:val="006C6D64"/>
    <w:rsid w:val="006D114F"/>
    <w:rsid w:val="006D352D"/>
    <w:rsid w:val="006D55C0"/>
    <w:rsid w:val="006D62DF"/>
    <w:rsid w:val="006E171F"/>
    <w:rsid w:val="006E29D3"/>
    <w:rsid w:val="006E4710"/>
    <w:rsid w:val="006E5E28"/>
    <w:rsid w:val="006E6574"/>
    <w:rsid w:val="006F050A"/>
    <w:rsid w:val="006F62B6"/>
    <w:rsid w:val="006F6408"/>
    <w:rsid w:val="00701D5B"/>
    <w:rsid w:val="0070563D"/>
    <w:rsid w:val="00710922"/>
    <w:rsid w:val="00710C4D"/>
    <w:rsid w:val="0071336B"/>
    <w:rsid w:val="00713592"/>
    <w:rsid w:val="00714CF2"/>
    <w:rsid w:val="007156B9"/>
    <w:rsid w:val="007159A1"/>
    <w:rsid w:val="00720817"/>
    <w:rsid w:val="00722850"/>
    <w:rsid w:val="0072325A"/>
    <w:rsid w:val="00723790"/>
    <w:rsid w:val="0072494C"/>
    <w:rsid w:val="00724BF5"/>
    <w:rsid w:val="0072563F"/>
    <w:rsid w:val="0072746D"/>
    <w:rsid w:val="007316AE"/>
    <w:rsid w:val="007325E3"/>
    <w:rsid w:val="00733398"/>
    <w:rsid w:val="0073353F"/>
    <w:rsid w:val="00734B16"/>
    <w:rsid w:val="00734D74"/>
    <w:rsid w:val="00735A91"/>
    <w:rsid w:val="00737906"/>
    <w:rsid w:val="00737D15"/>
    <w:rsid w:val="0074008D"/>
    <w:rsid w:val="00742E45"/>
    <w:rsid w:val="007447AF"/>
    <w:rsid w:val="00745F67"/>
    <w:rsid w:val="00750816"/>
    <w:rsid w:val="00756DFC"/>
    <w:rsid w:val="007573B4"/>
    <w:rsid w:val="00761097"/>
    <w:rsid w:val="007629AA"/>
    <w:rsid w:val="007644F3"/>
    <w:rsid w:val="0076492E"/>
    <w:rsid w:val="00765046"/>
    <w:rsid w:val="007657C1"/>
    <w:rsid w:val="00767D23"/>
    <w:rsid w:val="00770A63"/>
    <w:rsid w:val="007724D2"/>
    <w:rsid w:val="007753BA"/>
    <w:rsid w:val="007761B6"/>
    <w:rsid w:val="0077755F"/>
    <w:rsid w:val="00783058"/>
    <w:rsid w:val="00783D1F"/>
    <w:rsid w:val="00784256"/>
    <w:rsid w:val="00785602"/>
    <w:rsid w:val="007917C1"/>
    <w:rsid w:val="00792AF7"/>
    <w:rsid w:val="007930EE"/>
    <w:rsid w:val="00793916"/>
    <w:rsid w:val="00795CE6"/>
    <w:rsid w:val="007A0F15"/>
    <w:rsid w:val="007A1BD7"/>
    <w:rsid w:val="007A2F15"/>
    <w:rsid w:val="007A406D"/>
    <w:rsid w:val="007A62B0"/>
    <w:rsid w:val="007A7EC1"/>
    <w:rsid w:val="007B0C8B"/>
    <w:rsid w:val="007B3FCA"/>
    <w:rsid w:val="007B4687"/>
    <w:rsid w:val="007B59A0"/>
    <w:rsid w:val="007C1724"/>
    <w:rsid w:val="007C5A0C"/>
    <w:rsid w:val="007C6854"/>
    <w:rsid w:val="007D13CB"/>
    <w:rsid w:val="007D1ED5"/>
    <w:rsid w:val="007D5D3B"/>
    <w:rsid w:val="007E0BC0"/>
    <w:rsid w:val="007E0FEE"/>
    <w:rsid w:val="007E29B6"/>
    <w:rsid w:val="007E32DF"/>
    <w:rsid w:val="007E33DE"/>
    <w:rsid w:val="007E778C"/>
    <w:rsid w:val="007F2017"/>
    <w:rsid w:val="007F2937"/>
    <w:rsid w:val="007F29FA"/>
    <w:rsid w:val="007F327F"/>
    <w:rsid w:val="007F5118"/>
    <w:rsid w:val="007F5B5B"/>
    <w:rsid w:val="007F6A42"/>
    <w:rsid w:val="008000C0"/>
    <w:rsid w:val="00804ACE"/>
    <w:rsid w:val="00805A91"/>
    <w:rsid w:val="00807597"/>
    <w:rsid w:val="00807E4A"/>
    <w:rsid w:val="00815407"/>
    <w:rsid w:val="008159CF"/>
    <w:rsid w:val="008168AE"/>
    <w:rsid w:val="00816E05"/>
    <w:rsid w:val="00817BE9"/>
    <w:rsid w:val="00821733"/>
    <w:rsid w:val="00821CDB"/>
    <w:rsid w:val="008231D0"/>
    <w:rsid w:val="0083260E"/>
    <w:rsid w:val="008336A3"/>
    <w:rsid w:val="008339BB"/>
    <w:rsid w:val="00834C05"/>
    <w:rsid w:val="008351D6"/>
    <w:rsid w:val="00835644"/>
    <w:rsid w:val="00836291"/>
    <w:rsid w:val="00836B87"/>
    <w:rsid w:val="0083754D"/>
    <w:rsid w:val="00841C03"/>
    <w:rsid w:val="00842C56"/>
    <w:rsid w:val="008431E5"/>
    <w:rsid w:val="008455FC"/>
    <w:rsid w:val="00847616"/>
    <w:rsid w:val="00850121"/>
    <w:rsid w:val="0085123E"/>
    <w:rsid w:val="00852AA5"/>
    <w:rsid w:val="00853997"/>
    <w:rsid w:val="00854BD4"/>
    <w:rsid w:val="00857E7B"/>
    <w:rsid w:val="0086419A"/>
    <w:rsid w:val="00864D32"/>
    <w:rsid w:val="00866376"/>
    <w:rsid w:val="00866650"/>
    <w:rsid w:val="0086744E"/>
    <w:rsid w:val="0087023B"/>
    <w:rsid w:val="008704F3"/>
    <w:rsid w:val="008753B0"/>
    <w:rsid w:val="00875E14"/>
    <w:rsid w:val="00875F75"/>
    <w:rsid w:val="008770BF"/>
    <w:rsid w:val="00877DDB"/>
    <w:rsid w:val="0088394A"/>
    <w:rsid w:val="00886D19"/>
    <w:rsid w:val="00887DB5"/>
    <w:rsid w:val="00890061"/>
    <w:rsid w:val="0089409E"/>
    <w:rsid w:val="008967BA"/>
    <w:rsid w:val="008A179F"/>
    <w:rsid w:val="008A342A"/>
    <w:rsid w:val="008A5205"/>
    <w:rsid w:val="008B04A5"/>
    <w:rsid w:val="008B0864"/>
    <w:rsid w:val="008B1C42"/>
    <w:rsid w:val="008B3467"/>
    <w:rsid w:val="008B5A27"/>
    <w:rsid w:val="008B683D"/>
    <w:rsid w:val="008B74FA"/>
    <w:rsid w:val="008B7F9D"/>
    <w:rsid w:val="008C0CDD"/>
    <w:rsid w:val="008C23FC"/>
    <w:rsid w:val="008C5A3E"/>
    <w:rsid w:val="008C6328"/>
    <w:rsid w:val="008C7413"/>
    <w:rsid w:val="008C77C2"/>
    <w:rsid w:val="008D16B7"/>
    <w:rsid w:val="008D25EE"/>
    <w:rsid w:val="008D3847"/>
    <w:rsid w:val="008D6BA5"/>
    <w:rsid w:val="008E1A79"/>
    <w:rsid w:val="008E565C"/>
    <w:rsid w:val="008E6AE6"/>
    <w:rsid w:val="008F0116"/>
    <w:rsid w:val="008F143D"/>
    <w:rsid w:val="008F50E3"/>
    <w:rsid w:val="008F599D"/>
    <w:rsid w:val="008F601B"/>
    <w:rsid w:val="00900361"/>
    <w:rsid w:val="00904141"/>
    <w:rsid w:val="00906075"/>
    <w:rsid w:val="00916B17"/>
    <w:rsid w:val="00917B6E"/>
    <w:rsid w:val="0092008A"/>
    <w:rsid w:val="00920613"/>
    <w:rsid w:val="00924A2C"/>
    <w:rsid w:val="00924F91"/>
    <w:rsid w:val="00924FF0"/>
    <w:rsid w:val="00925F1F"/>
    <w:rsid w:val="00926931"/>
    <w:rsid w:val="009276A3"/>
    <w:rsid w:val="00931B0D"/>
    <w:rsid w:val="00932865"/>
    <w:rsid w:val="009328A2"/>
    <w:rsid w:val="009360A9"/>
    <w:rsid w:val="009364A8"/>
    <w:rsid w:val="00940DB2"/>
    <w:rsid w:val="0094131F"/>
    <w:rsid w:val="009415CC"/>
    <w:rsid w:val="009417B3"/>
    <w:rsid w:val="009445E0"/>
    <w:rsid w:val="00946672"/>
    <w:rsid w:val="00951428"/>
    <w:rsid w:val="00952223"/>
    <w:rsid w:val="00953AE1"/>
    <w:rsid w:val="00954DE2"/>
    <w:rsid w:val="00955645"/>
    <w:rsid w:val="00961337"/>
    <w:rsid w:val="00961EA2"/>
    <w:rsid w:val="00962263"/>
    <w:rsid w:val="00964E29"/>
    <w:rsid w:val="00965D07"/>
    <w:rsid w:val="00972E37"/>
    <w:rsid w:val="00973987"/>
    <w:rsid w:val="009746B1"/>
    <w:rsid w:val="0097619D"/>
    <w:rsid w:val="009768DE"/>
    <w:rsid w:val="00976A04"/>
    <w:rsid w:val="00977848"/>
    <w:rsid w:val="0098138E"/>
    <w:rsid w:val="00981B7D"/>
    <w:rsid w:val="009842E0"/>
    <w:rsid w:val="009851D1"/>
    <w:rsid w:val="00986080"/>
    <w:rsid w:val="0098655A"/>
    <w:rsid w:val="0098672B"/>
    <w:rsid w:val="009877E7"/>
    <w:rsid w:val="0099100B"/>
    <w:rsid w:val="0099103B"/>
    <w:rsid w:val="0099251E"/>
    <w:rsid w:val="00994A92"/>
    <w:rsid w:val="00996979"/>
    <w:rsid w:val="009A2476"/>
    <w:rsid w:val="009A2AFA"/>
    <w:rsid w:val="009A2E5C"/>
    <w:rsid w:val="009A3195"/>
    <w:rsid w:val="009A6E36"/>
    <w:rsid w:val="009A750D"/>
    <w:rsid w:val="009B289B"/>
    <w:rsid w:val="009B63E0"/>
    <w:rsid w:val="009B6745"/>
    <w:rsid w:val="009B68C7"/>
    <w:rsid w:val="009C007F"/>
    <w:rsid w:val="009C19A8"/>
    <w:rsid w:val="009C43E1"/>
    <w:rsid w:val="009C45B6"/>
    <w:rsid w:val="009C584A"/>
    <w:rsid w:val="009C65A6"/>
    <w:rsid w:val="009C6F7D"/>
    <w:rsid w:val="009D01F7"/>
    <w:rsid w:val="009D04DE"/>
    <w:rsid w:val="009D1D68"/>
    <w:rsid w:val="009D4F30"/>
    <w:rsid w:val="009E2ECA"/>
    <w:rsid w:val="009E3F05"/>
    <w:rsid w:val="009E6052"/>
    <w:rsid w:val="009E6080"/>
    <w:rsid w:val="009E7C7F"/>
    <w:rsid w:val="009F030C"/>
    <w:rsid w:val="009F1803"/>
    <w:rsid w:val="009F1EBC"/>
    <w:rsid w:val="009F2279"/>
    <w:rsid w:val="009F2517"/>
    <w:rsid w:val="009F5DEA"/>
    <w:rsid w:val="009F6A02"/>
    <w:rsid w:val="009F7F1D"/>
    <w:rsid w:val="00A01B15"/>
    <w:rsid w:val="00A02242"/>
    <w:rsid w:val="00A02F9E"/>
    <w:rsid w:val="00A03506"/>
    <w:rsid w:val="00A042AE"/>
    <w:rsid w:val="00A0634E"/>
    <w:rsid w:val="00A0777C"/>
    <w:rsid w:val="00A113F5"/>
    <w:rsid w:val="00A134AB"/>
    <w:rsid w:val="00A145DD"/>
    <w:rsid w:val="00A15B10"/>
    <w:rsid w:val="00A177B7"/>
    <w:rsid w:val="00A1781F"/>
    <w:rsid w:val="00A17CE0"/>
    <w:rsid w:val="00A20CF9"/>
    <w:rsid w:val="00A239AB"/>
    <w:rsid w:val="00A23D48"/>
    <w:rsid w:val="00A24569"/>
    <w:rsid w:val="00A245F5"/>
    <w:rsid w:val="00A2706D"/>
    <w:rsid w:val="00A27B80"/>
    <w:rsid w:val="00A27DB0"/>
    <w:rsid w:val="00A31091"/>
    <w:rsid w:val="00A33025"/>
    <w:rsid w:val="00A35A20"/>
    <w:rsid w:val="00A35DDC"/>
    <w:rsid w:val="00A40678"/>
    <w:rsid w:val="00A42306"/>
    <w:rsid w:val="00A431B5"/>
    <w:rsid w:val="00A433A5"/>
    <w:rsid w:val="00A44E8D"/>
    <w:rsid w:val="00A46EA8"/>
    <w:rsid w:val="00A53808"/>
    <w:rsid w:val="00A53F8D"/>
    <w:rsid w:val="00A554CB"/>
    <w:rsid w:val="00A55ACD"/>
    <w:rsid w:val="00A6058A"/>
    <w:rsid w:val="00A6232E"/>
    <w:rsid w:val="00A62BDB"/>
    <w:rsid w:val="00A6336D"/>
    <w:rsid w:val="00A63426"/>
    <w:rsid w:val="00A635C4"/>
    <w:rsid w:val="00A67217"/>
    <w:rsid w:val="00A709BB"/>
    <w:rsid w:val="00A730F5"/>
    <w:rsid w:val="00A815E9"/>
    <w:rsid w:val="00A824E4"/>
    <w:rsid w:val="00A82590"/>
    <w:rsid w:val="00A82D9E"/>
    <w:rsid w:val="00A85D27"/>
    <w:rsid w:val="00A9336E"/>
    <w:rsid w:val="00A93A59"/>
    <w:rsid w:val="00A94B6D"/>
    <w:rsid w:val="00A96889"/>
    <w:rsid w:val="00AA0671"/>
    <w:rsid w:val="00AA1E83"/>
    <w:rsid w:val="00AB2522"/>
    <w:rsid w:val="00AB5158"/>
    <w:rsid w:val="00AB6C9D"/>
    <w:rsid w:val="00AB7875"/>
    <w:rsid w:val="00AC30D6"/>
    <w:rsid w:val="00AC3A2A"/>
    <w:rsid w:val="00AC68EE"/>
    <w:rsid w:val="00AC729B"/>
    <w:rsid w:val="00AD0F7B"/>
    <w:rsid w:val="00AD1B9B"/>
    <w:rsid w:val="00AD1CE4"/>
    <w:rsid w:val="00AD29DE"/>
    <w:rsid w:val="00AD32E7"/>
    <w:rsid w:val="00AD430D"/>
    <w:rsid w:val="00AD67B1"/>
    <w:rsid w:val="00AD6F8C"/>
    <w:rsid w:val="00AE3A0C"/>
    <w:rsid w:val="00AE491F"/>
    <w:rsid w:val="00AE5C3B"/>
    <w:rsid w:val="00AE5D3C"/>
    <w:rsid w:val="00AE6F47"/>
    <w:rsid w:val="00AF0657"/>
    <w:rsid w:val="00AF08B3"/>
    <w:rsid w:val="00AF1750"/>
    <w:rsid w:val="00AF3BAA"/>
    <w:rsid w:val="00AF4AAA"/>
    <w:rsid w:val="00AF57DB"/>
    <w:rsid w:val="00B00DA0"/>
    <w:rsid w:val="00B01F7E"/>
    <w:rsid w:val="00B06655"/>
    <w:rsid w:val="00B117D9"/>
    <w:rsid w:val="00B142E4"/>
    <w:rsid w:val="00B150CC"/>
    <w:rsid w:val="00B16C2A"/>
    <w:rsid w:val="00B177F0"/>
    <w:rsid w:val="00B23A19"/>
    <w:rsid w:val="00B257C6"/>
    <w:rsid w:val="00B27A7D"/>
    <w:rsid w:val="00B307A6"/>
    <w:rsid w:val="00B3087D"/>
    <w:rsid w:val="00B312E4"/>
    <w:rsid w:val="00B32B86"/>
    <w:rsid w:val="00B33118"/>
    <w:rsid w:val="00B34794"/>
    <w:rsid w:val="00B35916"/>
    <w:rsid w:val="00B36849"/>
    <w:rsid w:val="00B36D7B"/>
    <w:rsid w:val="00B37855"/>
    <w:rsid w:val="00B425DC"/>
    <w:rsid w:val="00B47142"/>
    <w:rsid w:val="00B50729"/>
    <w:rsid w:val="00B51FB3"/>
    <w:rsid w:val="00B52F77"/>
    <w:rsid w:val="00B60421"/>
    <w:rsid w:val="00B62874"/>
    <w:rsid w:val="00B637F3"/>
    <w:rsid w:val="00B672CF"/>
    <w:rsid w:val="00B70ED9"/>
    <w:rsid w:val="00B70FCE"/>
    <w:rsid w:val="00B72054"/>
    <w:rsid w:val="00B729EE"/>
    <w:rsid w:val="00B7507C"/>
    <w:rsid w:val="00B755D3"/>
    <w:rsid w:val="00B808AD"/>
    <w:rsid w:val="00B81EB6"/>
    <w:rsid w:val="00B843D3"/>
    <w:rsid w:val="00B84467"/>
    <w:rsid w:val="00B854DE"/>
    <w:rsid w:val="00B86AEC"/>
    <w:rsid w:val="00B87C52"/>
    <w:rsid w:val="00B90577"/>
    <w:rsid w:val="00B932C2"/>
    <w:rsid w:val="00B97369"/>
    <w:rsid w:val="00B979E7"/>
    <w:rsid w:val="00BA14D1"/>
    <w:rsid w:val="00BB0243"/>
    <w:rsid w:val="00BB0C9A"/>
    <w:rsid w:val="00BB549C"/>
    <w:rsid w:val="00BB573D"/>
    <w:rsid w:val="00BB6918"/>
    <w:rsid w:val="00BB78ED"/>
    <w:rsid w:val="00BC014D"/>
    <w:rsid w:val="00BC3963"/>
    <w:rsid w:val="00BC77B6"/>
    <w:rsid w:val="00BC79D9"/>
    <w:rsid w:val="00BE0A37"/>
    <w:rsid w:val="00BE2EAE"/>
    <w:rsid w:val="00BE441F"/>
    <w:rsid w:val="00BE48B1"/>
    <w:rsid w:val="00BE7CA2"/>
    <w:rsid w:val="00BF083D"/>
    <w:rsid w:val="00BF39EC"/>
    <w:rsid w:val="00BF3FA0"/>
    <w:rsid w:val="00BF4EBB"/>
    <w:rsid w:val="00C00D28"/>
    <w:rsid w:val="00C01626"/>
    <w:rsid w:val="00C023B7"/>
    <w:rsid w:val="00C023E5"/>
    <w:rsid w:val="00C04E11"/>
    <w:rsid w:val="00C05E74"/>
    <w:rsid w:val="00C067E1"/>
    <w:rsid w:val="00C10AA7"/>
    <w:rsid w:val="00C10B5F"/>
    <w:rsid w:val="00C11BF2"/>
    <w:rsid w:val="00C12F50"/>
    <w:rsid w:val="00C13C4A"/>
    <w:rsid w:val="00C16068"/>
    <w:rsid w:val="00C216AB"/>
    <w:rsid w:val="00C2367B"/>
    <w:rsid w:val="00C23A24"/>
    <w:rsid w:val="00C2773C"/>
    <w:rsid w:val="00C32E24"/>
    <w:rsid w:val="00C33355"/>
    <w:rsid w:val="00C3430E"/>
    <w:rsid w:val="00C4481C"/>
    <w:rsid w:val="00C449DC"/>
    <w:rsid w:val="00C52D50"/>
    <w:rsid w:val="00C54106"/>
    <w:rsid w:val="00C541AD"/>
    <w:rsid w:val="00C56D65"/>
    <w:rsid w:val="00C57213"/>
    <w:rsid w:val="00C60707"/>
    <w:rsid w:val="00C61DDC"/>
    <w:rsid w:val="00C63ECB"/>
    <w:rsid w:val="00C63F41"/>
    <w:rsid w:val="00C6589A"/>
    <w:rsid w:val="00C666EC"/>
    <w:rsid w:val="00C66907"/>
    <w:rsid w:val="00C676D5"/>
    <w:rsid w:val="00C679AF"/>
    <w:rsid w:val="00C67D78"/>
    <w:rsid w:val="00C71243"/>
    <w:rsid w:val="00C71578"/>
    <w:rsid w:val="00C7169C"/>
    <w:rsid w:val="00C716AB"/>
    <w:rsid w:val="00C721FC"/>
    <w:rsid w:val="00C733C3"/>
    <w:rsid w:val="00C74BE3"/>
    <w:rsid w:val="00C7673C"/>
    <w:rsid w:val="00C801D4"/>
    <w:rsid w:val="00C8074B"/>
    <w:rsid w:val="00C84C03"/>
    <w:rsid w:val="00C878D5"/>
    <w:rsid w:val="00C878FC"/>
    <w:rsid w:val="00C87BA9"/>
    <w:rsid w:val="00C87E29"/>
    <w:rsid w:val="00C9033B"/>
    <w:rsid w:val="00C913A1"/>
    <w:rsid w:val="00C92139"/>
    <w:rsid w:val="00C92761"/>
    <w:rsid w:val="00C97C77"/>
    <w:rsid w:val="00CA2318"/>
    <w:rsid w:val="00CA2408"/>
    <w:rsid w:val="00CA41FD"/>
    <w:rsid w:val="00CA4CA1"/>
    <w:rsid w:val="00CA5323"/>
    <w:rsid w:val="00CA549D"/>
    <w:rsid w:val="00CA6F13"/>
    <w:rsid w:val="00CA7873"/>
    <w:rsid w:val="00CB6194"/>
    <w:rsid w:val="00CB6B38"/>
    <w:rsid w:val="00CC2855"/>
    <w:rsid w:val="00CC3B02"/>
    <w:rsid w:val="00CC43F8"/>
    <w:rsid w:val="00CC54F3"/>
    <w:rsid w:val="00CC5CF2"/>
    <w:rsid w:val="00CC5F9F"/>
    <w:rsid w:val="00CC6700"/>
    <w:rsid w:val="00CC6A99"/>
    <w:rsid w:val="00CC6BEB"/>
    <w:rsid w:val="00CC7B2C"/>
    <w:rsid w:val="00CD0F35"/>
    <w:rsid w:val="00CD16B2"/>
    <w:rsid w:val="00CD4E1C"/>
    <w:rsid w:val="00CD539D"/>
    <w:rsid w:val="00CD5BA5"/>
    <w:rsid w:val="00CD62DF"/>
    <w:rsid w:val="00CE0148"/>
    <w:rsid w:val="00CE16C5"/>
    <w:rsid w:val="00CE3AF9"/>
    <w:rsid w:val="00CE5099"/>
    <w:rsid w:val="00CF05E3"/>
    <w:rsid w:val="00CF0EE1"/>
    <w:rsid w:val="00CF27F3"/>
    <w:rsid w:val="00CF3141"/>
    <w:rsid w:val="00CF794D"/>
    <w:rsid w:val="00CF7FE8"/>
    <w:rsid w:val="00D00AA3"/>
    <w:rsid w:val="00D00E7C"/>
    <w:rsid w:val="00D01649"/>
    <w:rsid w:val="00D01718"/>
    <w:rsid w:val="00D01C58"/>
    <w:rsid w:val="00D0504E"/>
    <w:rsid w:val="00D052AD"/>
    <w:rsid w:val="00D06D9B"/>
    <w:rsid w:val="00D0787F"/>
    <w:rsid w:val="00D07F73"/>
    <w:rsid w:val="00D14844"/>
    <w:rsid w:val="00D16C7B"/>
    <w:rsid w:val="00D17601"/>
    <w:rsid w:val="00D2041C"/>
    <w:rsid w:val="00D2431B"/>
    <w:rsid w:val="00D24549"/>
    <w:rsid w:val="00D25ADE"/>
    <w:rsid w:val="00D2619A"/>
    <w:rsid w:val="00D261B4"/>
    <w:rsid w:val="00D2670D"/>
    <w:rsid w:val="00D26B76"/>
    <w:rsid w:val="00D2756A"/>
    <w:rsid w:val="00D27770"/>
    <w:rsid w:val="00D303BB"/>
    <w:rsid w:val="00D327D7"/>
    <w:rsid w:val="00D34B84"/>
    <w:rsid w:val="00D374EC"/>
    <w:rsid w:val="00D4057A"/>
    <w:rsid w:val="00D41842"/>
    <w:rsid w:val="00D42C3E"/>
    <w:rsid w:val="00D43297"/>
    <w:rsid w:val="00D44D1A"/>
    <w:rsid w:val="00D44DB6"/>
    <w:rsid w:val="00D452B1"/>
    <w:rsid w:val="00D50119"/>
    <w:rsid w:val="00D576C4"/>
    <w:rsid w:val="00D6002C"/>
    <w:rsid w:val="00D651C2"/>
    <w:rsid w:val="00D66389"/>
    <w:rsid w:val="00D70630"/>
    <w:rsid w:val="00D72060"/>
    <w:rsid w:val="00D762E8"/>
    <w:rsid w:val="00D80D7F"/>
    <w:rsid w:val="00D82546"/>
    <w:rsid w:val="00D82699"/>
    <w:rsid w:val="00D82A43"/>
    <w:rsid w:val="00D833C4"/>
    <w:rsid w:val="00D845E6"/>
    <w:rsid w:val="00D84C02"/>
    <w:rsid w:val="00D8623C"/>
    <w:rsid w:val="00D87E23"/>
    <w:rsid w:val="00D9345D"/>
    <w:rsid w:val="00D93C94"/>
    <w:rsid w:val="00D93FC0"/>
    <w:rsid w:val="00D95581"/>
    <w:rsid w:val="00D979BE"/>
    <w:rsid w:val="00DA0FBA"/>
    <w:rsid w:val="00DA1296"/>
    <w:rsid w:val="00DA2166"/>
    <w:rsid w:val="00DA35E4"/>
    <w:rsid w:val="00DA5666"/>
    <w:rsid w:val="00DA7323"/>
    <w:rsid w:val="00DA7B5D"/>
    <w:rsid w:val="00DB6137"/>
    <w:rsid w:val="00DB7649"/>
    <w:rsid w:val="00DC1BB8"/>
    <w:rsid w:val="00DC32EB"/>
    <w:rsid w:val="00DC5B6B"/>
    <w:rsid w:val="00DC618D"/>
    <w:rsid w:val="00DD12E5"/>
    <w:rsid w:val="00DD2105"/>
    <w:rsid w:val="00DD35AE"/>
    <w:rsid w:val="00DD4D2C"/>
    <w:rsid w:val="00DD50D7"/>
    <w:rsid w:val="00DD5F6D"/>
    <w:rsid w:val="00DD617A"/>
    <w:rsid w:val="00DD630F"/>
    <w:rsid w:val="00DE22C0"/>
    <w:rsid w:val="00DE3F31"/>
    <w:rsid w:val="00DE578A"/>
    <w:rsid w:val="00DF58E7"/>
    <w:rsid w:val="00DF6B29"/>
    <w:rsid w:val="00DF7765"/>
    <w:rsid w:val="00DF7DB6"/>
    <w:rsid w:val="00E00D5D"/>
    <w:rsid w:val="00E013F0"/>
    <w:rsid w:val="00E045FC"/>
    <w:rsid w:val="00E11876"/>
    <w:rsid w:val="00E11CEA"/>
    <w:rsid w:val="00E12320"/>
    <w:rsid w:val="00E149F0"/>
    <w:rsid w:val="00E1508F"/>
    <w:rsid w:val="00E15783"/>
    <w:rsid w:val="00E1594E"/>
    <w:rsid w:val="00E168EA"/>
    <w:rsid w:val="00E177DD"/>
    <w:rsid w:val="00E219E0"/>
    <w:rsid w:val="00E2263B"/>
    <w:rsid w:val="00E22701"/>
    <w:rsid w:val="00E23B16"/>
    <w:rsid w:val="00E23CBB"/>
    <w:rsid w:val="00E24E85"/>
    <w:rsid w:val="00E26B6C"/>
    <w:rsid w:val="00E33739"/>
    <w:rsid w:val="00E3666F"/>
    <w:rsid w:val="00E36B0A"/>
    <w:rsid w:val="00E37B59"/>
    <w:rsid w:val="00E40ADF"/>
    <w:rsid w:val="00E41C6D"/>
    <w:rsid w:val="00E426D2"/>
    <w:rsid w:val="00E435FC"/>
    <w:rsid w:val="00E4370E"/>
    <w:rsid w:val="00E47FF5"/>
    <w:rsid w:val="00E518E8"/>
    <w:rsid w:val="00E53438"/>
    <w:rsid w:val="00E54EB3"/>
    <w:rsid w:val="00E55B9E"/>
    <w:rsid w:val="00E56837"/>
    <w:rsid w:val="00E571CA"/>
    <w:rsid w:val="00E600C3"/>
    <w:rsid w:val="00E60FC7"/>
    <w:rsid w:val="00E65068"/>
    <w:rsid w:val="00E65FE7"/>
    <w:rsid w:val="00E667A9"/>
    <w:rsid w:val="00E6709A"/>
    <w:rsid w:val="00E67869"/>
    <w:rsid w:val="00E725FC"/>
    <w:rsid w:val="00E80259"/>
    <w:rsid w:val="00E845AF"/>
    <w:rsid w:val="00E86B7D"/>
    <w:rsid w:val="00E91CE9"/>
    <w:rsid w:val="00E93589"/>
    <w:rsid w:val="00EA1160"/>
    <w:rsid w:val="00EA1A09"/>
    <w:rsid w:val="00EA3161"/>
    <w:rsid w:val="00EA31F1"/>
    <w:rsid w:val="00EA36C6"/>
    <w:rsid w:val="00EA38BF"/>
    <w:rsid w:val="00EA4CC0"/>
    <w:rsid w:val="00EB11E1"/>
    <w:rsid w:val="00EB3B4F"/>
    <w:rsid w:val="00EB4002"/>
    <w:rsid w:val="00EC1268"/>
    <w:rsid w:val="00EC175C"/>
    <w:rsid w:val="00EC2984"/>
    <w:rsid w:val="00EC2A25"/>
    <w:rsid w:val="00EC30F9"/>
    <w:rsid w:val="00EC3E4A"/>
    <w:rsid w:val="00EC4117"/>
    <w:rsid w:val="00EC413F"/>
    <w:rsid w:val="00EC7117"/>
    <w:rsid w:val="00ED0666"/>
    <w:rsid w:val="00ED5384"/>
    <w:rsid w:val="00ED5725"/>
    <w:rsid w:val="00ED5A5D"/>
    <w:rsid w:val="00ED6688"/>
    <w:rsid w:val="00ED6891"/>
    <w:rsid w:val="00ED7031"/>
    <w:rsid w:val="00EE059D"/>
    <w:rsid w:val="00EE19CF"/>
    <w:rsid w:val="00EE3060"/>
    <w:rsid w:val="00EE4315"/>
    <w:rsid w:val="00EE5678"/>
    <w:rsid w:val="00EF6925"/>
    <w:rsid w:val="00EF6BDA"/>
    <w:rsid w:val="00F003A5"/>
    <w:rsid w:val="00F01474"/>
    <w:rsid w:val="00F11056"/>
    <w:rsid w:val="00F12118"/>
    <w:rsid w:val="00F1329F"/>
    <w:rsid w:val="00F14B2D"/>
    <w:rsid w:val="00F15439"/>
    <w:rsid w:val="00F15A1C"/>
    <w:rsid w:val="00F17572"/>
    <w:rsid w:val="00F20327"/>
    <w:rsid w:val="00F267E4"/>
    <w:rsid w:val="00F26ED3"/>
    <w:rsid w:val="00F27C39"/>
    <w:rsid w:val="00F30C9A"/>
    <w:rsid w:val="00F314FE"/>
    <w:rsid w:val="00F323C6"/>
    <w:rsid w:val="00F344AE"/>
    <w:rsid w:val="00F3709E"/>
    <w:rsid w:val="00F37B94"/>
    <w:rsid w:val="00F405DF"/>
    <w:rsid w:val="00F416E6"/>
    <w:rsid w:val="00F43A72"/>
    <w:rsid w:val="00F5173D"/>
    <w:rsid w:val="00F5623F"/>
    <w:rsid w:val="00F601B0"/>
    <w:rsid w:val="00F60D9F"/>
    <w:rsid w:val="00F62A39"/>
    <w:rsid w:val="00F62B7A"/>
    <w:rsid w:val="00F6397D"/>
    <w:rsid w:val="00F652D5"/>
    <w:rsid w:val="00F6546E"/>
    <w:rsid w:val="00F678E1"/>
    <w:rsid w:val="00F727BF"/>
    <w:rsid w:val="00F7293E"/>
    <w:rsid w:val="00F74430"/>
    <w:rsid w:val="00F76650"/>
    <w:rsid w:val="00F77FB0"/>
    <w:rsid w:val="00F81362"/>
    <w:rsid w:val="00F81A2A"/>
    <w:rsid w:val="00F86DB8"/>
    <w:rsid w:val="00F9187B"/>
    <w:rsid w:val="00F92385"/>
    <w:rsid w:val="00F9273C"/>
    <w:rsid w:val="00F95569"/>
    <w:rsid w:val="00F95902"/>
    <w:rsid w:val="00F95AD4"/>
    <w:rsid w:val="00F96546"/>
    <w:rsid w:val="00F96D9D"/>
    <w:rsid w:val="00FA0AC2"/>
    <w:rsid w:val="00FA1B4F"/>
    <w:rsid w:val="00FA302D"/>
    <w:rsid w:val="00FB02B4"/>
    <w:rsid w:val="00FB1684"/>
    <w:rsid w:val="00FB57E2"/>
    <w:rsid w:val="00FB65CF"/>
    <w:rsid w:val="00FC1FFE"/>
    <w:rsid w:val="00FC2818"/>
    <w:rsid w:val="00FC3B26"/>
    <w:rsid w:val="00FC47F9"/>
    <w:rsid w:val="00FC4CC7"/>
    <w:rsid w:val="00FC55EF"/>
    <w:rsid w:val="00FC5BAF"/>
    <w:rsid w:val="00FC6F69"/>
    <w:rsid w:val="00FC6F98"/>
    <w:rsid w:val="00FD30DB"/>
    <w:rsid w:val="00FD48B0"/>
    <w:rsid w:val="00FD4BA6"/>
    <w:rsid w:val="00FD4F95"/>
    <w:rsid w:val="00FD7378"/>
    <w:rsid w:val="00FE07C4"/>
    <w:rsid w:val="00FE1FC3"/>
    <w:rsid w:val="00FE2351"/>
    <w:rsid w:val="00FE337D"/>
    <w:rsid w:val="00FE3909"/>
    <w:rsid w:val="00FE4166"/>
    <w:rsid w:val="00FE5580"/>
    <w:rsid w:val="00FE77B5"/>
    <w:rsid w:val="00FF110C"/>
    <w:rsid w:val="00FF416B"/>
    <w:rsid w:val="01B2F654"/>
    <w:rsid w:val="022B905C"/>
    <w:rsid w:val="034D16CE"/>
    <w:rsid w:val="0C27A695"/>
    <w:rsid w:val="0C8D8F27"/>
    <w:rsid w:val="0D070C8D"/>
    <w:rsid w:val="0ED4EFE5"/>
    <w:rsid w:val="1575F752"/>
    <w:rsid w:val="167993A1"/>
    <w:rsid w:val="1738C650"/>
    <w:rsid w:val="18A21421"/>
    <w:rsid w:val="199B0118"/>
    <w:rsid w:val="203E63A1"/>
    <w:rsid w:val="208B7167"/>
    <w:rsid w:val="2192A52A"/>
    <w:rsid w:val="24A66EB9"/>
    <w:rsid w:val="27A29708"/>
    <w:rsid w:val="2D2631B7"/>
    <w:rsid w:val="2E90A6D8"/>
    <w:rsid w:val="2F6092A2"/>
    <w:rsid w:val="2FC57A36"/>
    <w:rsid w:val="31D6ED06"/>
    <w:rsid w:val="31EFB576"/>
    <w:rsid w:val="3306A2A2"/>
    <w:rsid w:val="33C2B9B5"/>
    <w:rsid w:val="343F2111"/>
    <w:rsid w:val="35D012F4"/>
    <w:rsid w:val="38B0D734"/>
    <w:rsid w:val="39EC68D6"/>
    <w:rsid w:val="3C710005"/>
    <w:rsid w:val="49F142DC"/>
    <w:rsid w:val="4E54C955"/>
    <w:rsid w:val="4E90B0DF"/>
    <w:rsid w:val="4FC0964E"/>
    <w:rsid w:val="4FD56792"/>
    <w:rsid w:val="56C1E4C6"/>
    <w:rsid w:val="57EF34D3"/>
    <w:rsid w:val="5AEF7D6D"/>
    <w:rsid w:val="5B2F1787"/>
    <w:rsid w:val="5C5ABB15"/>
    <w:rsid w:val="5C8A1400"/>
    <w:rsid w:val="5D08EE6B"/>
    <w:rsid w:val="608053D6"/>
    <w:rsid w:val="6204C242"/>
    <w:rsid w:val="6234DE3D"/>
    <w:rsid w:val="667A1C15"/>
    <w:rsid w:val="66E28FAF"/>
    <w:rsid w:val="6861DF8E"/>
    <w:rsid w:val="6931A9CC"/>
    <w:rsid w:val="6DAB8882"/>
    <w:rsid w:val="720F4222"/>
    <w:rsid w:val="72813693"/>
    <w:rsid w:val="7F9C91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24802"/>
  <w15:chartTrackingRefBased/>
  <w15:docId w15:val="{1E3FDCF4-F8E1-4582-94BD-1DFB70BDB450}"/>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ind w:left="720" w:right="2160" w:hanging="720"/>
    </w:pPr>
    <w:rPr>
      <w:rFonts w:eastAsiaTheme="majorEastAsia" w:cstheme="majorBidi"/>
      <w:szCs w:val="32"/>
    </w:rPr>
  </w:style>
  <w:style w:type="paragraph" w:styleId="Heading2">
    <w:name w:val="heading 2"/>
    <w:basedOn w:val="Dummy"/>
    <w:next w:val="Standard"/>
    <w:link w:val="Heading2Char"/>
    <w:uiPriority w:val="4"/>
    <w:qFormat/>
    <w:rsid w:val="000E270A"/>
    <w:pPr>
      <w:tabs>
        <w:tab w:val="num" w:pos="1080"/>
      </w:tabs>
      <w:ind w:left="1080" w:right="2160" w:hanging="720"/>
      <w:outlineLvl w:val="1"/>
    </w:pPr>
  </w:style>
  <w:style w:type="paragraph" w:styleId="Heading3">
    <w:name w:val="heading 3"/>
    <w:basedOn w:val="Dummy"/>
    <w:next w:val="Standard"/>
    <w:link w:val="Heading3Char"/>
    <w:uiPriority w:val="4"/>
    <w:qFormat/>
    <w:rsid w:val="000E270A"/>
    <w:pPr>
      <w:tabs>
        <w:tab w:val="num" w:pos="1656"/>
      </w:tabs>
      <w:ind w:left="1656" w:right="2160" w:hanging="936"/>
      <w:outlineLvl w:val="2"/>
    </w:pPr>
    <w:rPr>
      <w:rFonts w:eastAsiaTheme="majorEastAsia" w:cstheme="majorBidi"/>
      <w:szCs w:val="24"/>
    </w:rPr>
  </w:style>
  <w:style w:type="paragraph" w:styleId="Heading4">
    <w:name w:val="heading 4"/>
    <w:basedOn w:val="Dummy"/>
    <w:next w:val="Standard"/>
    <w:link w:val="Heading4Char"/>
    <w:uiPriority w:val="4"/>
    <w:rsid w:val="000E270A"/>
    <w:pPr>
      <w:tabs>
        <w:tab w:val="num" w:pos="2232"/>
      </w:tabs>
      <w:ind w:left="2232" w:right="2160" w:hanging="1152"/>
      <w:outlineLvl w:val="3"/>
    </w:pPr>
    <w:rPr>
      <w:rFonts w:eastAsiaTheme="majorEastAsia" w:cstheme="majorBidi"/>
      <w:iCs/>
    </w:rPr>
  </w:style>
  <w:style w:type="paragraph" w:styleId="Heading5">
    <w:name w:val="heading 5"/>
    <w:basedOn w:val="Dummy"/>
    <w:next w:val="Standard"/>
    <w:link w:val="Heading5Char"/>
    <w:uiPriority w:val="4"/>
    <w:rsid w:val="000E270A"/>
    <w:pPr>
      <w:tabs>
        <w:tab w:val="num" w:pos="2880"/>
      </w:tabs>
      <w:ind w:left="2880" w:right="2160" w:hanging="1440"/>
      <w:outlineLvl w:val="4"/>
    </w:pPr>
    <w:rPr>
      <w:rFonts w:eastAsiaTheme="majorEastAsia" w:cstheme="majorBidi"/>
    </w:rPr>
  </w:style>
  <w:style w:type="paragraph" w:styleId="Heading6">
    <w:name w:val="heading 6"/>
    <w:basedOn w:val="Dummy"/>
    <w:next w:val="Standard"/>
    <w:link w:val="Heading6Char"/>
    <w:uiPriority w:val="4"/>
    <w:rsid w:val="000E270A"/>
    <w:pPr>
      <w:tabs>
        <w:tab w:val="num" w:pos="3528"/>
      </w:tabs>
      <w:spacing w:before="40"/>
      <w:ind w:left="3528" w:right="2160" w:hanging="1728"/>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40"/>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40"/>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1E2A62"/>
    <w:pPr>
      <w:ind w:firstLine="540"/>
    </w:pPr>
  </w:style>
  <w:style w:type="paragraph" w:customStyle="1" w:styleId="CoL">
    <w:name w:val="CoL"/>
    <w:basedOn w:val="Standard"/>
    <w:uiPriority w:val="7"/>
    <w:qFormat/>
    <w:rsid w:val="001E2A62"/>
    <w:pPr>
      <w:ind w:firstLine="540"/>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ind w:firstLine="540"/>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spacing w:after="120" w:line="240" w:lineRule="auto"/>
      <w:ind w:left="1080" w:hanging="360"/>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tabs>
        <w:tab w:val="num" w:pos="1080"/>
      </w:tabs>
      <w:spacing w:after="120" w:line="240" w:lineRule="auto"/>
      <w:ind w:left="1080" w:hanging="360"/>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Book Antiqua" w:hAnsi="Book Antiqua"/>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15E0A"/>
    <w:pPr>
      <w:spacing w:after="0" w:line="240" w:lineRule="auto"/>
    </w:pPr>
    <w:rPr>
      <w:rFonts w:ascii="Book Antiqua" w:hAnsi="Book Antiqua"/>
      <w:sz w:val="26"/>
    </w:rPr>
  </w:style>
  <w:style w:type="paragraph" w:styleId="CommentSubject">
    <w:name w:val="annotation subject"/>
    <w:basedOn w:val="CommentText"/>
    <w:next w:val="CommentText"/>
    <w:link w:val="CommentSubjectChar"/>
    <w:uiPriority w:val="99"/>
    <w:semiHidden/>
    <w:unhideWhenUsed/>
    <w:rsid w:val="00793916"/>
    <w:rPr>
      <w:b/>
      <w:bCs/>
    </w:rPr>
  </w:style>
  <w:style w:type="character" w:customStyle="1" w:styleId="CommentSubjectChar">
    <w:name w:val="Comment Subject Char"/>
    <w:basedOn w:val="CommentTextChar"/>
    <w:link w:val="CommentSubject"/>
    <w:uiPriority w:val="99"/>
    <w:semiHidden/>
    <w:rsid w:val="00793916"/>
    <w:rPr>
      <w:rFonts w:ascii="Book Antiqua" w:hAnsi="Book Antiqua"/>
      <w:b/>
      <w:bCs/>
      <w:sz w:val="20"/>
      <w:szCs w:val="20"/>
    </w:rPr>
  </w:style>
  <w:style w:type="character" w:styleId="Mention">
    <w:name w:val="Mention"/>
    <w:basedOn w:val="DefaultParagraphFont"/>
    <w:uiPriority w:val="99"/>
    <w:unhideWhenUsed/>
    <w:rsid w:val="00793916"/>
    <w:rPr>
      <w:color w:val="2B579A"/>
      <w:shd w:val="clear" w:color="auto" w:fill="E1DFDD"/>
    </w:rPr>
  </w:style>
  <w:style w:type="character" w:styleId="UnresolvedMention">
    <w:name w:val="Unresolved Mention"/>
    <w:basedOn w:val="DefaultParagraphFont"/>
    <w:uiPriority w:val="99"/>
    <w:semiHidden/>
    <w:unhideWhenUsed/>
    <w:rsid w:val="00C21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alsomah.org/sites/default/files/docs/SOMAH-Handbook_FifthEdi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83baaca-c19c-4192-b2cd-0744d2ee074e">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lcf76f155ced4ddcb4097134ff3c332f xmlns="4cc6076d-e27c-4e30-aa8b-1357899142e9">
      <Terms xmlns="http://schemas.microsoft.com/office/infopath/2007/PartnerControls"/>
    </lcf76f155ced4ddcb4097134ff3c332f>
    <TaxCatchAll xmlns="583baaca-c19c-4192-b2cd-0744d2ee07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335A4A02B0FB45A58F5DBEBCF86717" ma:contentTypeVersion="11" ma:contentTypeDescription="Create a new document." ma:contentTypeScope="" ma:versionID="e7cec0366beee3656e7a612de199edd1">
  <xsd:schema xmlns:xsd="http://www.w3.org/2001/XMLSchema" xmlns:xs="http://www.w3.org/2001/XMLSchema" xmlns:p="http://schemas.microsoft.com/office/2006/metadata/properties" xmlns:ns2="4cc6076d-e27c-4e30-aa8b-1357899142e9" xmlns:ns3="583baaca-c19c-4192-b2cd-0744d2ee074e" targetNamespace="http://schemas.microsoft.com/office/2006/metadata/properties" ma:root="true" ma:fieldsID="170cb172c2f4de9aa9fd00adea24812f" ns2:_="" ns3:_="">
    <xsd:import namespace="4cc6076d-e27c-4e30-aa8b-1357899142e9"/>
    <xsd:import namespace="583baaca-c19c-4192-b2cd-0744d2ee07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6076d-e27c-4e30-aa8b-135789914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baaca-c19c-4192-b2cd-0744d2ee07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c9604c4-784d-4af0-a8c9-abe6b2d71c62}" ma:internalName="TaxCatchAll" ma:showField="CatchAllData" ma:web="583baaca-c19c-4192-b2cd-0744d2ee07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customXml/itemProps2.xml><?xml version="1.0" encoding="utf-8"?>
<ds:datastoreItem xmlns:ds="http://schemas.openxmlformats.org/officeDocument/2006/customXml" ds:itemID="{B930DE7C-9577-4EA8-AC89-8E2B6CC952CB}">
  <ds:schemaRefs>
    <ds:schemaRef ds:uri="http://schemas.microsoft.com/sharepoint/v3/contenttype/forms"/>
  </ds:schemaRefs>
</ds:datastoreItem>
</file>

<file path=customXml/itemProps3.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583baaca-c19c-4192-b2cd-0744d2ee074e"/>
    <ds:schemaRef ds:uri="4cc6076d-e27c-4e30-aa8b-1357899142e9"/>
  </ds:schemaRefs>
</ds:datastoreItem>
</file>

<file path=customXml/itemProps4.xml><?xml version="1.0" encoding="utf-8"?>
<ds:datastoreItem xmlns:ds="http://schemas.openxmlformats.org/officeDocument/2006/customXml" ds:itemID="{0D59DD8D-1B91-4302-9474-D0A8EC241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6076d-e27c-4e30-aa8b-1357899142e9"/>
    <ds:schemaRef ds:uri="583baaca-c19c-4192-b2cd-0744d2ee0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16</ap:Pages>
  <ap:Words>3371</ap:Words>
  <ap:Characters>19218</ap:Characters>
  <ap:Application>Microsoft Office Word</ap:Application>
  <ap:DocSecurity>0</ap:DocSecurity>
  <ap:Lines>160</ap:Lines>
  <ap:Paragraphs>45</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22544</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2019-07-03T22:18:00Z</cp:lastPrinted>
  <dcterms:created xsi:type="dcterms:W3CDTF">2023-03-21T05:16:04Z</dcterms:created>
  <dcterms:modified xsi:type="dcterms:W3CDTF">2023-03-21T05:16:04Z</dcterms:modified>
</cp:coreProperties>
</file>